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44522" w14:textId="7E25E647" w:rsidR="00D543DE" w:rsidRDefault="00D543DE">
      <w:pPr>
        <w:rPr>
          <w:rFonts w:ascii="Arial" w:eastAsia="Arial" w:hAnsi="Arial" w:cs="Arial"/>
          <w:sz w:val="20"/>
          <w:szCs w:val="20"/>
        </w:rPr>
      </w:pPr>
    </w:p>
    <w:p w14:paraId="3D1CE54B" w14:textId="77777777" w:rsidR="00D543DE" w:rsidRDefault="00D543DE">
      <w:pPr>
        <w:rPr>
          <w:rFonts w:ascii="Arial" w:eastAsia="Arial" w:hAnsi="Arial" w:cs="Arial"/>
          <w:sz w:val="20"/>
          <w:szCs w:val="20"/>
        </w:rPr>
      </w:pPr>
    </w:p>
    <w:p w14:paraId="18955414" w14:textId="77777777" w:rsidR="00D543DE" w:rsidRDefault="00D543DE">
      <w:pPr>
        <w:rPr>
          <w:rFonts w:ascii="Arial" w:eastAsia="Arial" w:hAnsi="Arial" w:cs="Arial"/>
          <w:sz w:val="20"/>
          <w:szCs w:val="20"/>
        </w:rPr>
      </w:pPr>
    </w:p>
    <w:p w14:paraId="33C730F9" w14:textId="77777777" w:rsidR="00D543DE" w:rsidRDefault="00D543DE">
      <w:pPr>
        <w:rPr>
          <w:rFonts w:ascii="Arial" w:eastAsia="Arial" w:hAnsi="Arial" w:cs="Arial"/>
          <w:sz w:val="20"/>
          <w:szCs w:val="20"/>
        </w:rPr>
      </w:pPr>
    </w:p>
    <w:p w14:paraId="7BAE92A6" w14:textId="77777777" w:rsidR="00D543DE" w:rsidRDefault="00D543DE">
      <w:pPr>
        <w:rPr>
          <w:rFonts w:ascii="Arial" w:eastAsia="Arial" w:hAnsi="Arial" w:cs="Arial"/>
          <w:sz w:val="20"/>
          <w:szCs w:val="20"/>
        </w:rPr>
      </w:pPr>
    </w:p>
    <w:p w14:paraId="733CF478" w14:textId="77777777" w:rsidR="00D543DE" w:rsidRDefault="00D543DE">
      <w:pPr>
        <w:rPr>
          <w:rFonts w:ascii="Arial" w:eastAsia="Arial" w:hAnsi="Arial" w:cs="Arial"/>
          <w:sz w:val="20"/>
          <w:szCs w:val="20"/>
        </w:rPr>
      </w:pPr>
    </w:p>
    <w:p w14:paraId="047B9DB4" w14:textId="6AB861A1" w:rsidR="00A748BF" w:rsidRDefault="00A748BF" w:rsidP="00A748BF">
      <w:pPr>
        <w:spacing w:before="54" w:line="246" w:lineRule="auto"/>
        <w:ind w:left="179" w:right="320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spacing w:val="-1"/>
          <w:sz w:val="36"/>
        </w:rPr>
        <w:t>Greater</w:t>
      </w:r>
      <w:r>
        <w:rPr>
          <w:rFonts w:ascii="Arial"/>
          <w:b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Norwich</w:t>
      </w:r>
      <w:r>
        <w:rPr>
          <w:rFonts w:ascii="Arial"/>
          <w:b/>
          <w:sz w:val="36"/>
        </w:rPr>
        <w:t xml:space="preserve"> Infrastructure </w:t>
      </w:r>
      <w:r>
        <w:rPr>
          <w:rFonts w:ascii="Arial"/>
          <w:b/>
          <w:spacing w:val="-1"/>
          <w:sz w:val="36"/>
        </w:rPr>
        <w:t>Investment</w:t>
      </w:r>
      <w:r>
        <w:rPr>
          <w:rFonts w:ascii="Arial"/>
          <w:b/>
          <w:sz w:val="36"/>
        </w:rPr>
        <w:t xml:space="preserve"> Fund</w:t>
      </w:r>
      <w:r>
        <w:rPr>
          <w:rFonts w:ascii="Arial"/>
          <w:b/>
          <w:spacing w:val="38"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Reporting</w:t>
      </w:r>
      <w:r>
        <w:rPr>
          <w:rFonts w:ascii="Arial"/>
          <w:b/>
          <w:spacing w:val="1"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Year</w:t>
      </w:r>
      <w:r>
        <w:rPr>
          <w:rFonts w:ascii="Arial"/>
          <w:b/>
          <w:sz w:val="36"/>
        </w:rPr>
        <w:t xml:space="preserve"> 201</w:t>
      </w:r>
      <w:r w:rsidR="00AA1F09">
        <w:rPr>
          <w:rFonts w:ascii="Arial"/>
          <w:b/>
          <w:sz w:val="36"/>
        </w:rPr>
        <w:t>9-20</w:t>
      </w:r>
    </w:p>
    <w:p w14:paraId="155DAA7B" w14:textId="77777777" w:rsidR="00A748BF" w:rsidRDefault="00A748BF" w:rsidP="00A748BF">
      <w:pPr>
        <w:rPr>
          <w:rFonts w:ascii="Arial" w:eastAsia="Arial" w:hAnsi="Arial" w:cs="Arial"/>
          <w:b/>
          <w:bCs/>
          <w:sz w:val="39"/>
          <w:szCs w:val="39"/>
        </w:rPr>
      </w:pPr>
    </w:p>
    <w:p w14:paraId="4561EAFA" w14:textId="77777777" w:rsidR="00A748BF" w:rsidRDefault="00A748BF" w:rsidP="00A748BF">
      <w:pPr>
        <w:pStyle w:val="BodyText"/>
        <w:numPr>
          <w:ilvl w:val="0"/>
          <w:numId w:val="1"/>
        </w:numPr>
        <w:tabs>
          <w:tab w:val="left" w:pos="708"/>
        </w:tabs>
        <w:spacing w:line="258" w:lineRule="auto"/>
        <w:ind w:right="320" w:hanging="427"/>
      </w:pPr>
      <w:r>
        <w:t xml:space="preserve">Under </w:t>
      </w:r>
      <w:r>
        <w:rPr>
          <w:spacing w:val="-2"/>
        </w:rPr>
        <w:t>the</w:t>
      </w:r>
      <w:r>
        <w:rPr>
          <w:spacing w:val="-1"/>
        </w:rPr>
        <w:t xml:space="preserve"> Greater</w:t>
      </w:r>
      <w:r>
        <w:rPr>
          <w:spacing w:val="-3"/>
        </w:rPr>
        <w:t xml:space="preserve"> </w:t>
      </w:r>
      <w:r>
        <w:rPr>
          <w:spacing w:val="-1"/>
        </w:rPr>
        <w:t>Norwich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4"/>
        </w:rPr>
        <w:t xml:space="preserve"> </w:t>
      </w:r>
      <w:r>
        <w:t xml:space="preserve">Deal, </w:t>
      </w:r>
      <w:r>
        <w:rPr>
          <w:spacing w:val="-2"/>
        </w:rPr>
        <w:t>signed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December</w:t>
      </w:r>
      <w:r>
        <w:rPr>
          <w:spacing w:val="-7"/>
        </w:rPr>
        <w:t xml:space="preserve"> </w:t>
      </w:r>
      <w:r>
        <w:rPr>
          <w:spacing w:val="-2"/>
        </w:rPr>
        <w:t>2013,</w:t>
      </w:r>
      <w:r>
        <w:rPr>
          <w:spacing w:val="-1"/>
        </w:rPr>
        <w:t xml:space="preserve"> </w:t>
      </w:r>
      <w:r>
        <w:rPr>
          <w:spacing w:val="-2"/>
        </w:rPr>
        <w:t>Broadland</w:t>
      </w:r>
      <w:r>
        <w:rPr>
          <w:spacing w:val="-1"/>
        </w:rPr>
        <w:t xml:space="preserve"> District</w:t>
      </w:r>
      <w:r>
        <w:rPr>
          <w:spacing w:val="43"/>
        </w:rPr>
        <w:t xml:space="preserve"> </w:t>
      </w:r>
      <w:r>
        <w:t>Council,</w:t>
      </w:r>
      <w:r>
        <w:rPr>
          <w:spacing w:val="1"/>
        </w:rPr>
        <w:t xml:space="preserve"> </w:t>
      </w:r>
      <w:r>
        <w:rPr>
          <w:spacing w:val="-2"/>
        </w:rPr>
        <w:t>Norwich</w:t>
      </w:r>
      <w:r>
        <w:rPr>
          <w:spacing w:val="1"/>
        </w:rPr>
        <w:t xml:space="preserve"> </w:t>
      </w:r>
      <w:r>
        <w:rPr>
          <w:spacing w:val="-1"/>
        </w:rPr>
        <w:t xml:space="preserve">City </w:t>
      </w:r>
      <w:r>
        <w:t>Council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South</w:t>
      </w:r>
      <w:r>
        <w:rPr>
          <w:spacing w:val="-1"/>
        </w:rPr>
        <w:t xml:space="preserve"> </w:t>
      </w:r>
      <w:r>
        <w:rPr>
          <w:spacing w:val="-2"/>
        </w:rPr>
        <w:t>Norfolk</w:t>
      </w:r>
      <w:r>
        <w:t xml:space="preserve"> </w:t>
      </w:r>
      <w:r>
        <w:rPr>
          <w:spacing w:val="-2"/>
        </w:rPr>
        <w:t>Council</w:t>
      </w:r>
      <w:r>
        <w:t xml:space="preserve"> </w:t>
      </w:r>
      <w:r>
        <w:rPr>
          <w:spacing w:val="-2"/>
        </w:rPr>
        <w:t>(hereafter</w:t>
      </w:r>
      <w:r>
        <w:rPr>
          <w:spacing w:val="-4"/>
        </w:rPr>
        <w:t xml:space="preserve"> </w:t>
      </w:r>
      <w:r>
        <w:rPr>
          <w:spacing w:val="-2"/>
        </w:rPr>
        <w:t>referred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rFonts w:cs="Arial"/>
          <w:spacing w:val="-2"/>
        </w:rPr>
        <w:t>‘the</w:t>
      </w:r>
      <w:r>
        <w:rPr>
          <w:rFonts w:cs="Arial"/>
          <w:spacing w:val="71"/>
        </w:rPr>
        <w:t xml:space="preserve"> </w:t>
      </w:r>
      <w:r>
        <w:rPr>
          <w:rFonts w:cs="Arial"/>
        </w:rPr>
        <w:t>Councils’)</w:t>
      </w:r>
      <w:r>
        <w:rPr>
          <w:rFonts w:cs="Arial"/>
          <w:spacing w:val="-3"/>
        </w:rPr>
        <w:t xml:space="preserve"> </w:t>
      </w:r>
      <w:r>
        <w:rPr>
          <w:spacing w:val="-1"/>
        </w:rPr>
        <w:t xml:space="preserve">committed to </w:t>
      </w:r>
      <w:r>
        <w:rPr>
          <w:spacing w:val="-2"/>
        </w:rPr>
        <w:t>pooling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majority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rPr>
          <w:spacing w:val="-1"/>
        </w:rPr>
        <w:t>Community</w:t>
      </w:r>
      <w:r>
        <w:rPr>
          <w:spacing w:val="-4"/>
        </w:rPr>
        <w:t xml:space="preserve"> </w:t>
      </w:r>
      <w:r>
        <w:rPr>
          <w:spacing w:val="-1"/>
        </w:rPr>
        <w:t>Infrastructure</w:t>
      </w:r>
      <w:r>
        <w:rPr>
          <w:spacing w:val="-5"/>
        </w:rPr>
        <w:t xml:space="preserve"> </w:t>
      </w:r>
      <w:r>
        <w:rPr>
          <w:spacing w:val="-1"/>
        </w:rPr>
        <w:t>Levy</w:t>
      </w:r>
      <w:r>
        <w:rPr>
          <w:spacing w:val="47"/>
        </w:rPr>
        <w:t xml:space="preserve"> </w:t>
      </w:r>
      <w:r>
        <w:rPr>
          <w:spacing w:val="-1"/>
        </w:rPr>
        <w:t xml:space="preserve">(CIL) </w:t>
      </w:r>
      <w:r>
        <w:rPr>
          <w:spacing w:val="-2"/>
        </w:rPr>
        <w:t>income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create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Greater</w:t>
      </w:r>
      <w:r>
        <w:rPr>
          <w:spacing w:val="-3"/>
        </w:rPr>
        <w:t xml:space="preserve"> </w:t>
      </w:r>
      <w:r>
        <w:rPr>
          <w:spacing w:val="-1"/>
        </w:rPr>
        <w:t>Norwich</w:t>
      </w:r>
      <w:r>
        <w:rPr>
          <w:spacing w:val="-2"/>
        </w:rPr>
        <w:t xml:space="preserve"> </w:t>
      </w:r>
      <w:r>
        <w:rPr>
          <w:spacing w:val="-1"/>
        </w:rPr>
        <w:t>Infrastructure</w:t>
      </w:r>
      <w:r>
        <w:rPr>
          <w:spacing w:val="-3"/>
        </w:rPr>
        <w:t xml:space="preserve"> </w:t>
      </w:r>
      <w:r>
        <w:rPr>
          <w:spacing w:val="-2"/>
        </w:rPr>
        <w:t>Investment</w:t>
      </w:r>
      <w:r>
        <w:rPr>
          <w:spacing w:val="-6"/>
        </w:rPr>
        <w:t xml:space="preserve"> </w:t>
      </w:r>
      <w:r>
        <w:t>Fund.</w:t>
      </w:r>
    </w:p>
    <w:p w14:paraId="58805ECC" w14:textId="77777777" w:rsidR="00A748BF" w:rsidRDefault="00A748BF" w:rsidP="00A748BF">
      <w:pPr>
        <w:spacing w:before="8"/>
        <w:rPr>
          <w:rFonts w:ascii="Arial" w:eastAsia="Arial" w:hAnsi="Arial" w:cs="Arial"/>
          <w:sz w:val="25"/>
          <w:szCs w:val="25"/>
        </w:rPr>
      </w:pPr>
    </w:p>
    <w:p w14:paraId="4FC19A1D" w14:textId="43274613" w:rsidR="00A748BF" w:rsidRDefault="00A748BF" w:rsidP="00A748BF">
      <w:pPr>
        <w:pStyle w:val="BodyText"/>
        <w:numPr>
          <w:ilvl w:val="0"/>
          <w:numId w:val="1"/>
        </w:numPr>
        <w:tabs>
          <w:tab w:val="left" w:pos="708"/>
        </w:tabs>
        <w:spacing w:line="258" w:lineRule="auto"/>
        <w:ind w:right="114" w:hanging="427"/>
      </w:pPr>
      <w:r>
        <w:t>In</w:t>
      </w:r>
      <w:r>
        <w:rPr>
          <w:spacing w:val="1"/>
        </w:rPr>
        <w:t xml:space="preserve"> </w:t>
      </w:r>
      <w:r>
        <w:rPr>
          <w:spacing w:val="-2"/>
        </w:rPr>
        <w:t>accordance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CIL</w:t>
      </w:r>
      <w:r>
        <w:rPr>
          <w:spacing w:val="1"/>
        </w:rPr>
        <w:t xml:space="preserve"> </w:t>
      </w:r>
      <w:r>
        <w:rPr>
          <w:spacing w:val="-2"/>
        </w:rPr>
        <w:t xml:space="preserve">legislation, </w:t>
      </w:r>
      <w:r>
        <w:rPr>
          <w:spacing w:val="-1"/>
        </w:rPr>
        <w:t xml:space="preserve">the </w:t>
      </w:r>
      <w:r>
        <w:rPr>
          <w:spacing w:val="-2"/>
        </w:rPr>
        <w:t xml:space="preserve">Councils </w:t>
      </w:r>
      <w:r>
        <w:t>may</w:t>
      </w:r>
      <w:r>
        <w:rPr>
          <w:spacing w:val="-4"/>
        </w:rPr>
        <w:t xml:space="preserve"> </w:t>
      </w:r>
      <w:r>
        <w:rPr>
          <w:spacing w:val="-2"/>
        </w:rPr>
        <w:t xml:space="preserve">deduct </w:t>
      </w:r>
      <w:r>
        <w:rPr>
          <w:spacing w:val="-1"/>
        </w:rPr>
        <w:t>up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maximum</w:t>
      </w:r>
      <w:r>
        <w:t xml:space="preserve"> </w:t>
      </w:r>
      <w:r>
        <w:rPr>
          <w:spacing w:val="-2"/>
        </w:rPr>
        <w:t>of</w:t>
      </w:r>
      <w:r>
        <w:rPr>
          <w:spacing w:val="69"/>
        </w:rPr>
        <w:t xml:space="preserve"> </w:t>
      </w:r>
      <w:r>
        <w:t xml:space="preserve">5%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CIL</w:t>
      </w:r>
      <w:r>
        <w:rPr>
          <w:spacing w:val="1"/>
        </w:rPr>
        <w:t xml:space="preserve"> </w:t>
      </w:r>
      <w:r>
        <w:rPr>
          <w:spacing w:val="-1"/>
        </w:rPr>
        <w:t>to cover</w:t>
      </w:r>
      <w:r>
        <w:rPr>
          <w:spacing w:val="-4"/>
        </w:rPr>
        <w:t xml:space="preserve"> </w:t>
      </w:r>
      <w:r>
        <w:rPr>
          <w:spacing w:val="-2"/>
        </w:rPr>
        <w:t>administration</w:t>
      </w:r>
      <w:r>
        <w:rPr>
          <w:spacing w:val="-1"/>
        </w:rPr>
        <w:t xml:space="preserve"> costs, </w:t>
      </w:r>
      <w:r>
        <w:rPr>
          <w:spacing w:val="-2"/>
        </w:rPr>
        <w:t>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invoicing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collection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CIL.</w:t>
      </w:r>
      <w:r>
        <w:t xml:space="preserve"> A</w:t>
      </w:r>
      <w:r>
        <w:rPr>
          <w:spacing w:val="61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15%</w:t>
      </w:r>
      <w:r>
        <w:rPr>
          <w:spacing w:val="-5"/>
        </w:rPr>
        <w:t xml:space="preserve"> </w:t>
      </w:r>
      <w:r>
        <w:t>or 25%</w:t>
      </w:r>
      <w:r>
        <w:rPr>
          <w:spacing w:val="-6"/>
        </w:rPr>
        <w:t xml:space="preserve"> </w:t>
      </w:r>
      <w:r w:rsidR="00B762FC">
        <w:rPr>
          <w:spacing w:val="-2"/>
        </w:rPr>
        <w:t>neighbourhood</w:t>
      </w:r>
      <w:r>
        <w:t xml:space="preserve"> </w:t>
      </w:r>
      <w:r>
        <w:rPr>
          <w:spacing w:val="-2"/>
        </w:rPr>
        <w:t>contribution</w:t>
      </w:r>
      <w:r>
        <w:rPr>
          <w:spacing w:val="2"/>
        </w:rPr>
        <w:t xml:space="preserve"> </w:t>
      </w:r>
      <w:r>
        <w:rPr>
          <w:spacing w:val="-2"/>
        </w:rPr>
        <w:t>(dependent</w:t>
      </w:r>
      <w:r>
        <w:rPr>
          <w:spacing w:val="-1"/>
        </w:rPr>
        <w:t xml:space="preserve"> </w:t>
      </w:r>
      <w:r>
        <w:rPr>
          <w:spacing w:val="-2"/>
        </w:rPr>
        <w:t>upon</w:t>
      </w:r>
      <w:r>
        <w:rPr>
          <w:spacing w:val="-1"/>
        </w:rPr>
        <w:t xml:space="preserve"> </w:t>
      </w:r>
      <w:r>
        <w:rPr>
          <w:spacing w:val="-2"/>
        </w:rPr>
        <w:t>whether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4"/>
        </w:rPr>
        <w:t xml:space="preserve"> </w:t>
      </w:r>
      <w:r>
        <w:t>is a</w:t>
      </w:r>
      <w:r>
        <w:rPr>
          <w:spacing w:val="57"/>
        </w:rPr>
        <w:t xml:space="preserve"> </w:t>
      </w:r>
      <w:r>
        <w:rPr>
          <w:spacing w:val="-2"/>
        </w:rPr>
        <w:t>Neighbourhood</w:t>
      </w:r>
      <w:r>
        <w:rPr>
          <w:spacing w:val="-3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t>place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subject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rPr>
          <w:rFonts w:cs="Arial"/>
          <w:spacing w:val="-1"/>
        </w:rPr>
        <w:t>“capping”</w:t>
      </w:r>
      <w:r>
        <w:rPr>
          <w:rFonts w:cs="Arial"/>
          <w:spacing w:val="-3"/>
        </w:rPr>
        <w:t xml:space="preserve"> </w:t>
      </w:r>
      <w:r>
        <w:rPr>
          <w:spacing w:val="-2"/>
        </w:rPr>
        <w:t>arrangements</w:t>
      </w:r>
      <w:r>
        <w:rPr>
          <w:spacing w:val="-3"/>
        </w:rPr>
        <w:t xml:space="preserve"> </w:t>
      </w:r>
      <w:r>
        <w:rPr>
          <w:spacing w:val="-2"/>
        </w:rPr>
        <w:t>where</w:t>
      </w:r>
      <w:r>
        <w:rPr>
          <w:spacing w:val="1"/>
        </w:rPr>
        <w:t xml:space="preserve"> </w:t>
      </w:r>
      <w:r>
        <w:t>not)</w:t>
      </w:r>
      <w:r>
        <w:rPr>
          <w:spacing w:val="-1"/>
        </w:rPr>
        <w:t xml:space="preserve"> is</w:t>
      </w:r>
      <w:r>
        <w:rPr>
          <w:spacing w:val="50"/>
        </w:rPr>
        <w:t xml:space="preserve"> </w:t>
      </w:r>
      <w:r>
        <w:rPr>
          <w:spacing w:val="-2"/>
        </w:rPr>
        <w:t>deducted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Councils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the </w:t>
      </w:r>
      <w:r>
        <w:t>case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Broadland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South</w:t>
      </w:r>
      <w:r>
        <w:rPr>
          <w:spacing w:val="-1"/>
        </w:rPr>
        <w:t xml:space="preserve"> Norfolk</w:t>
      </w:r>
      <w:r>
        <w:t xml:space="preserve"> is </w:t>
      </w:r>
      <w:r>
        <w:rPr>
          <w:spacing w:val="-2"/>
        </w:rP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7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paid</w:t>
      </w:r>
      <w:r>
        <w:rPr>
          <w:spacing w:val="-1"/>
        </w:rPr>
        <w:t xml:space="preserve"> over</w:t>
      </w:r>
      <w: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relevant</w:t>
      </w:r>
      <w:r>
        <w:rPr>
          <w:spacing w:val="-1"/>
        </w:rPr>
        <w:t xml:space="preserve"> </w:t>
      </w:r>
      <w:r>
        <w:rPr>
          <w:spacing w:val="-2"/>
        </w:rPr>
        <w:t>Parish/Town</w:t>
      </w:r>
      <w:r>
        <w:rPr>
          <w:spacing w:val="1"/>
        </w:rPr>
        <w:t xml:space="preserve"> </w:t>
      </w:r>
      <w:r>
        <w:rPr>
          <w:spacing w:val="-2"/>
        </w:rPr>
        <w:t xml:space="preserve">Council. </w:t>
      </w:r>
      <w:r>
        <w:t xml:space="preserve">As </w:t>
      </w:r>
      <w:r>
        <w:rPr>
          <w:spacing w:val="-2"/>
        </w:rPr>
        <w:t>Norwich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un-parished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community</w:t>
      </w:r>
      <w:r>
        <w:rPr>
          <w:spacing w:val="-4"/>
        </w:rPr>
        <w:t xml:space="preserve"> </w:t>
      </w:r>
      <w:r>
        <w:rPr>
          <w:spacing w:val="-1"/>
        </w:rPr>
        <w:t>element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 xml:space="preserve">CIL (15%) is </w:t>
      </w:r>
      <w:r>
        <w:rPr>
          <w:spacing w:val="-2"/>
        </w:rPr>
        <w:t>retained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managed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Norwich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4"/>
        </w:rPr>
        <w:t xml:space="preserve"> </w:t>
      </w:r>
      <w:r>
        <w:rPr>
          <w:spacing w:val="-1"/>
        </w:rPr>
        <w:t>Council.</w:t>
      </w:r>
    </w:p>
    <w:p w14:paraId="51423ADA" w14:textId="77777777" w:rsidR="00A748BF" w:rsidRDefault="00A748BF" w:rsidP="00A748BF">
      <w:pPr>
        <w:spacing w:before="2"/>
        <w:rPr>
          <w:rFonts w:ascii="Arial" w:eastAsia="Arial" w:hAnsi="Arial" w:cs="Arial"/>
          <w:sz w:val="26"/>
          <w:szCs w:val="26"/>
        </w:rPr>
      </w:pPr>
    </w:p>
    <w:p w14:paraId="74D8A1BF" w14:textId="07A43EB4" w:rsidR="00A748BF" w:rsidRDefault="00A748BF" w:rsidP="00A748BF">
      <w:pPr>
        <w:pStyle w:val="BodyText"/>
        <w:numPr>
          <w:ilvl w:val="0"/>
          <w:numId w:val="1"/>
        </w:numPr>
        <w:tabs>
          <w:tab w:val="left" w:pos="708"/>
        </w:tabs>
        <w:spacing w:line="257" w:lineRule="auto"/>
        <w:ind w:right="320" w:hanging="427"/>
      </w:pPr>
      <w:r>
        <w:rPr>
          <w:spacing w:val="-1"/>
        </w:rPr>
        <w:t>The majority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remaining</w:t>
      </w:r>
      <w:r>
        <w:rPr>
          <w:spacing w:val="-5"/>
        </w:rPr>
        <w:t xml:space="preserve"> </w:t>
      </w:r>
      <w:r>
        <w:rPr>
          <w:spacing w:val="-1"/>
        </w:rPr>
        <w:t>balance</w:t>
      </w:r>
      <w:r>
        <w:rPr>
          <w:spacing w:val="4"/>
        </w:rPr>
        <w:t xml:space="preserve"> </w:t>
      </w:r>
      <w:r>
        <w:t>(e</w:t>
      </w:r>
      <w:r w:rsidR="00285FA8">
        <w:t>.</w:t>
      </w:r>
      <w:r>
        <w:t>g</w:t>
      </w:r>
      <w:r w:rsidR="00285FA8">
        <w:t>.</w:t>
      </w:r>
      <w:r>
        <w:rPr>
          <w:spacing w:val="-6"/>
        </w:rPr>
        <w:t xml:space="preserve"> </w:t>
      </w:r>
      <w:r>
        <w:rPr>
          <w:spacing w:val="-2"/>
        </w:rPr>
        <w:t>excluding</w:t>
      </w:r>
      <w:r>
        <w:rPr>
          <w:spacing w:val="-1"/>
        </w:rPr>
        <w:t xml:space="preserve"> amounts arising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rFonts w:cs="Arial"/>
          <w:spacing w:val="-2"/>
        </w:rPr>
        <w:t xml:space="preserve">“capping” and </w:t>
      </w:r>
      <w:r>
        <w:rPr>
          <w:spacing w:val="-2"/>
        </w:rPr>
        <w:t>surcharges)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t xml:space="preserve"> CIL</w:t>
      </w:r>
      <w:r>
        <w:rPr>
          <w:spacing w:val="-1"/>
        </w:rPr>
        <w:t xml:space="preserve"> </w:t>
      </w:r>
      <w:r>
        <w:rPr>
          <w:spacing w:val="-2"/>
        </w:rPr>
        <w:t>revenues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2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Councils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2"/>
        </w:rPr>
        <w:t>paid</w:t>
      </w:r>
      <w:r w:rsidR="009807A1">
        <w:rPr>
          <w:spacing w:val="63"/>
        </w:rPr>
        <w:t xml:space="preserve"> </w:t>
      </w:r>
      <w:r>
        <w:t>into</w:t>
      </w:r>
      <w:r>
        <w:rPr>
          <w:spacing w:val="-1"/>
        </w:rPr>
        <w:t xml:space="preserve"> the</w:t>
      </w:r>
      <w:r>
        <w:rPr>
          <w:spacing w:val="-2"/>
        </w:rPr>
        <w:t xml:space="preserve"> Infrastructure</w:t>
      </w:r>
      <w:r>
        <w:rPr>
          <w:spacing w:val="-1"/>
        </w:rPr>
        <w:t xml:space="preserve"> </w:t>
      </w:r>
      <w:r>
        <w:rPr>
          <w:spacing w:val="-2"/>
        </w:rPr>
        <w:t>Investment</w:t>
      </w:r>
      <w:r>
        <w:rPr>
          <w:spacing w:val="-1"/>
        </w:rPr>
        <w:t xml:space="preserve"> </w:t>
      </w:r>
      <w:r>
        <w:rPr>
          <w:spacing w:val="-2"/>
        </w:rPr>
        <w:t>Fund</w:t>
      </w:r>
      <w:r>
        <w:rPr>
          <w:spacing w:val="-1"/>
        </w:rPr>
        <w:t xml:space="preserve"> to be</w:t>
      </w:r>
      <w:r>
        <w:rPr>
          <w:spacing w:val="-3"/>
        </w:rPr>
        <w:t xml:space="preserve"> used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infrastructure</w:t>
      </w:r>
      <w:r>
        <w:rPr>
          <w:spacing w:val="2"/>
        </w:rPr>
        <w:t xml:space="preserve"> </w:t>
      </w:r>
      <w:r>
        <w:rPr>
          <w:spacing w:val="-2"/>
        </w:rPr>
        <w:t>investment,</w:t>
      </w:r>
      <w:r w:rsidR="00C150FE">
        <w:rPr>
          <w:spacing w:val="97"/>
        </w:rPr>
        <w:t xml:space="preserve"> </w:t>
      </w:r>
      <w:r>
        <w:rPr>
          <w:spacing w:val="-2"/>
        </w:rPr>
        <w:t>identified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long-term</w:t>
      </w:r>
      <w:r>
        <w:rPr>
          <w:spacing w:val="-1"/>
        </w:rPr>
        <w:t xml:space="preserve"> </w:t>
      </w:r>
      <w:r>
        <w:rPr>
          <w:spacing w:val="-2"/>
        </w:rPr>
        <w:t>capital programme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2026.</w:t>
      </w:r>
    </w:p>
    <w:p w14:paraId="35C21373" w14:textId="77777777" w:rsidR="00A748BF" w:rsidRDefault="00A748BF" w:rsidP="00A748BF">
      <w:pPr>
        <w:spacing w:before="1"/>
        <w:rPr>
          <w:rFonts w:ascii="Arial" w:eastAsia="Arial" w:hAnsi="Arial" w:cs="Arial"/>
          <w:sz w:val="26"/>
          <w:szCs w:val="26"/>
        </w:rPr>
      </w:pPr>
    </w:p>
    <w:p w14:paraId="7170EE61" w14:textId="77777777" w:rsidR="00A748BF" w:rsidRDefault="00A748BF" w:rsidP="00A748BF">
      <w:pPr>
        <w:pStyle w:val="BodyText"/>
        <w:numPr>
          <w:ilvl w:val="0"/>
          <w:numId w:val="1"/>
        </w:numPr>
        <w:tabs>
          <w:tab w:val="left" w:pos="708"/>
        </w:tabs>
        <w:spacing w:line="258" w:lineRule="auto"/>
        <w:ind w:right="106" w:hanging="427"/>
      </w:pPr>
      <w:r>
        <w:rPr>
          <w:spacing w:val="-1"/>
        </w:rPr>
        <w:t xml:space="preserve">The </w:t>
      </w:r>
      <w:r>
        <w:rPr>
          <w:spacing w:val="-2"/>
        </w:rPr>
        <w:t>Infrastructure</w:t>
      </w:r>
      <w:r>
        <w:rPr>
          <w:spacing w:val="-1"/>
        </w:rPr>
        <w:t xml:space="preserve"> </w:t>
      </w:r>
      <w:r>
        <w:rPr>
          <w:spacing w:val="-2"/>
        </w:rPr>
        <w:t>Investment</w:t>
      </w:r>
      <w:r>
        <w:rPr>
          <w:spacing w:val="-1"/>
        </w:rPr>
        <w:t xml:space="preserve"> </w:t>
      </w:r>
      <w:r>
        <w:rPr>
          <w:spacing w:val="-2"/>
        </w:rPr>
        <w:t>Fund</w:t>
      </w:r>
      <w:r>
        <w:rPr>
          <w:spacing w:val="-1"/>
        </w:rPr>
        <w:t xml:space="preserve"> is</w:t>
      </w:r>
      <w:r>
        <w:rPr>
          <w:spacing w:val="-2"/>
        </w:rPr>
        <w:t xml:space="preserve"> administered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Greater</w:t>
      </w:r>
      <w:r>
        <w:rPr>
          <w:spacing w:val="-2"/>
        </w:rPr>
        <w:t xml:space="preserve"> Norwich</w:t>
      </w:r>
      <w:r>
        <w:rPr>
          <w:spacing w:val="1"/>
        </w:rPr>
        <w:t xml:space="preserve"> </w:t>
      </w:r>
      <w:r>
        <w:rPr>
          <w:spacing w:val="-2"/>
        </w:rPr>
        <w:t>Growth</w:t>
      </w:r>
      <w:r>
        <w:rPr>
          <w:spacing w:val="93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rPr>
          <w:spacing w:val="-2"/>
        </w:rPr>
        <w:t>(GNGB)</w:t>
      </w:r>
      <w: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partnership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three</w:t>
      </w:r>
      <w:r>
        <w:rPr>
          <w:spacing w:val="-1"/>
        </w:rPr>
        <w:t xml:space="preserve"> District</w:t>
      </w:r>
      <w:r>
        <w:rPr>
          <w:spacing w:val="-2"/>
        </w:rPr>
        <w:t xml:space="preserve"> Authorities</w:t>
      </w:r>
      <w:r>
        <w:t xml:space="preserve"> </w:t>
      </w:r>
      <w:r>
        <w:rPr>
          <w:spacing w:val="-2"/>
        </w:rPr>
        <w:t>working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Norfolk</w:t>
      </w:r>
      <w:r>
        <w:rPr>
          <w:spacing w:val="67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New</w:t>
      </w:r>
      <w:r>
        <w:rPr>
          <w:spacing w:val="-5"/>
        </w:rPr>
        <w:t xml:space="preserve"> </w:t>
      </w:r>
      <w:r>
        <w:rPr>
          <w:spacing w:val="-2"/>
        </w:rPr>
        <w:t>Anglia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Enterprise</w:t>
      </w:r>
      <w:r>
        <w:rPr>
          <w:spacing w:val="2"/>
        </w:rPr>
        <w:t xml:space="preserve"> </w:t>
      </w:r>
      <w:r>
        <w:rPr>
          <w:spacing w:val="-2"/>
        </w:rPr>
        <w:t>Partnership</w:t>
      </w:r>
      <w:r>
        <w:rPr>
          <w:spacing w:val="2"/>
        </w:rPr>
        <w:t xml:space="preserve"> </w:t>
      </w:r>
      <w:r>
        <w:rPr>
          <w:spacing w:val="-2"/>
        </w:rPr>
        <w:t>(the</w:t>
      </w:r>
      <w:r>
        <w:rPr>
          <w:spacing w:val="-1"/>
        </w:rPr>
        <w:t xml:space="preserve"> LEP).</w:t>
      </w:r>
      <w:r>
        <w:rPr>
          <w:spacing w:val="-2"/>
        </w:rPr>
        <w:t xml:space="preserve"> </w:t>
      </w:r>
      <w:r>
        <w:rPr>
          <w:spacing w:val="-1"/>
        </w:rPr>
        <w:t>Norfolk</w:t>
      </w:r>
      <w:r>
        <w:t xml:space="preserve"> </w:t>
      </w:r>
      <w:r>
        <w:rPr>
          <w:spacing w:val="-2"/>
        </w:rPr>
        <w:t>County</w:t>
      </w:r>
      <w:r>
        <w:rPr>
          <w:spacing w:val="53"/>
        </w:rPr>
        <w:t xml:space="preserve"> </w:t>
      </w:r>
      <w:r>
        <w:t>Council</w:t>
      </w:r>
      <w:r>
        <w:rPr>
          <w:spacing w:val="-1"/>
        </w:rPr>
        <w:t xml:space="preserve"> has</w:t>
      </w:r>
      <w:r>
        <w:rPr>
          <w:spacing w:val="-5"/>
        </w:rPr>
        <w:t xml:space="preserve"> </w:t>
      </w:r>
      <w:r>
        <w:rPr>
          <w:spacing w:val="-2"/>
        </w:rPr>
        <w:t>been</w:t>
      </w:r>
      <w:r>
        <w:rPr>
          <w:spacing w:val="-1"/>
        </w:rPr>
        <w:t xml:space="preserve"> </w:t>
      </w:r>
      <w:r>
        <w:rPr>
          <w:spacing w:val="-2"/>
        </w:rPr>
        <w:t>appointed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Accountable</w:t>
      </w:r>
      <w:r>
        <w:rPr>
          <w:spacing w:val="-1"/>
        </w:rPr>
        <w:t xml:space="preserve"> </w:t>
      </w:r>
      <w:r>
        <w:rPr>
          <w:spacing w:val="-2"/>
        </w:rPr>
        <w:t>Body.</w:t>
      </w:r>
    </w:p>
    <w:p w14:paraId="1475E3A5" w14:textId="77777777" w:rsidR="00A748BF" w:rsidRDefault="00A748BF" w:rsidP="00A748BF">
      <w:pPr>
        <w:spacing w:before="11"/>
        <w:rPr>
          <w:rFonts w:ascii="Arial" w:eastAsia="Arial" w:hAnsi="Arial" w:cs="Arial"/>
          <w:sz w:val="25"/>
          <w:szCs w:val="25"/>
        </w:rPr>
      </w:pPr>
    </w:p>
    <w:p w14:paraId="09AAF3B5" w14:textId="77777777" w:rsidR="00A748BF" w:rsidRDefault="00A748BF" w:rsidP="00A748BF">
      <w:pPr>
        <w:pStyle w:val="BodyText"/>
        <w:numPr>
          <w:ilvl w:val="0"/>
          <w:numId w:val="1"/>
        </w:numPr>
        <w:tabs>
          <w:tab w:val="left" w:pos="708"/>
        </w:tabs>
        <w:spacing w:line="258" w:lineRule="auto"/>
        <w:ind w:right="106" w:hanging="427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GNGB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responsibility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2"/>
        </w:rPr>
        <w:t>overseeing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delivery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strategic</w:t>
      </w:r>
      <w:r>
        <w:rPr>
          <w:spacing w:val="1"/>
        </w:rPr>
        <w:t xml:space="preserve"> </w:t>
      </w:r>
      <w:r>
        <w:rPr>
          <w:spacing w:val="-1"/>
        </w:rPr>
        <w:t>infrastructure</w:t>
      </w:r>
      <w:r>
        <w:rPr>
          <w:spacing w:val="91"/>
        </w:rPr>
        <w:t xml:space="preserve"> </w:t>
      </w:r>
      <w:r>
        <w:rPr>
          <w:spacing w:val="-2"/>
        </w:rPr>
        <w:t>identified</w:t>
      </w:r>
      <w:r>
        <w:rPr>
          <w:spacing w:val="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rPr>
          <w:spacing w:val="-2"/>
        </w:rPr>
        <w:t>required</w:t>
      </w:r>
      <w:r>
        <w:rPr>
          <w:spacing w:val="2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planned</w:t>
      </w:r>
      <w:r>
        <w:rPr>
          <w:spacing w:val="2"/>
        </w:rPr>
        <w:t xml:space="preserve"> </w:t>
      </w:r>
      <w:r>
        <w:rPr>
          <w:spacing w:val="-2"/>
        </w:rPr>
        <w:t>growth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Greater</w:t>
      </w:r>
      <w:r>
        <w:rPr>
          <w:spacing w:val="-2"/>
        </w:rPr>
        <w:t xml:space="preserve"> </w:t>
      </w:r>
      <w:r>
        <w:rPr>
          <w:spacing w:val="-1"/>
        </w:rPr>
        <w:t>Norwich</w:t>
      </w:r>
      <w:r>
        <w:rPr>
          <w:spacing w:val="-2"/>
        </w:rPr>
        <w:t xml:space="preserve"> </w:t>
      </w:r>
      <w:r>
        <w:rPr>
          <w:spacing w:val="-1"/>
        </w:rPr>
        <w:t>area.</w:t>
      </w:r>
      <w:r>
        <w:rPr>
          <w:spacing w:val="59"/>
        </w:rPr>
        <w:t xml:space="preserve"> </w:t>
      </w:r>
      <w:r>
        <w:rPr>
          <w:spacing w:val="-1"/>
        </w:rPr>
        <w:t>The Board</w:t>
      </w:r>
      <w:r>
        <w:rPr>
          <w:spacing w:val="-4"/>
        </w:rPr>
        <w:t xml:space="preserve"> </w:t>
      </w:r>
      <w:r>
        <w:rPr>
          <w:spacing w:val="-2"/>
        </w:rPr>
        <w:t xml:space="preserve">agrees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rPr>
          <w:spacing w:val="-2"/>
        </w:rPr>
        <w:t xml:space="preserve"> programme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infrastructure</w:t>
      </w:r>
      <w:r>
        <w:rPr>
          <w:spacing w:val="-1"/>
        </w:rPr>
        <w:t xml:space="preserve"> projects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delivered</w:t>
      </w:r>
      <w:r>
        <w:rPr>
          <w:spacing w:val="1"/>
        </w:rPr>
        <w:t xml:space="preserve"> </w:t>
      </w:r>
      <w:r>
        <w:t>by</w:t>
      </w:r>
      <w:r>
        <w:rPr>
          <w:spacing w:val="61"/>
        </w:rPr>
        <w:t xml:space="preserve"> </w:t>
      </w:r>
      <w:r>
        <w:t>the</w:t>
      </w:r>
      <w:r>
        <w:rPr>
          <w:spacing w:val="-1"/>
        </w:rPr>
        <w:t xml:space="preserve"> GNGB</w:t>
      </w:r>
      <w:r>
        <w:rPr>
          <w:spacing w:val="1"/>
        </w:rPr>
        <w:t xml:space="preserve"> </w:t>
      </w:r>
      <w:r>
        <w:rPr>
          <w:spacing w:val="-2"/>
        </w:rPr>
        <w:t>via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Greater</w:t>
      </w:r>
      <w:r>
        <w:t xml:space="preserve"> </w:t>
      </w:r>
      <w:r>
        <w:rPr>
          <w:spacing w:val="-2"/>
        </w:rPr>
        <w:t>Norwich</w:t>
      </w:r>
      <w:r>
        <w:rPr>
          <w:spacing w:val="-1"/>
        </w:rPr>
        <w:t xml:space="preserve"> Growth </w:t>
      </w:r>
      <w:r>
        <w:rPr>
          <w:spacing w:val="-2"/>
        </w:rPr>
        <w:t>Programme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rPr>
          <w:spacing w:val="-1"/>
        </w:rPr>
        <w:t xml:space="preserve"> will</w:t>
      </w:r>
      <w:r>
        <w:t xml:space="preserve"> be</w:t>
      </w:r>
      <w:r>
        <w:rPr>
          <w:spacing w:val="-3"/>
        </w:rPr>
        <w:t xml:space="preserve"> </w:t>
      </w:r>
      <w:r>
        <w:rPr>
          <w:spacing w:val="-1"/>
        </w:rPr>
        <w:t xml:space="preserve">funded </w:t>
      </w:r>
      <w:r>
        <w:rPr>
          <w:spacing w:val="-2"/>
        </w:rPr>
        <w:t>either</w:t>
      </w:r>
      <w:r>
        <w:t xml:space="preserve"> </w:t>
      </w:r>
      <w:r>
        <w:rPr>
          <w:spacing w:val="-1"/>
        </w:rPr>
        <w:t>wholly</w:t>
      </w:r>
      <w:r>
        <w:rPr>
          <w:spacing w:val="43"/>
        </w:rPr>
        <w:t xml:space="preserve"> </w:t>
      </w:r>
      <w:r>
        <w:t>or in part</w:t>
      </w:r>
      <w:r>
        <w:rPr>
          <w:spacing w:val="-9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Infrastructure</w:t>
      </w:r>
      <w:r>
        <w:t xml:space="preserve"> </w:t>
      </w:r>
      <w:r>
        <w:rPr>
          <w:spacing w:val="-2"/>
        </w:rPr>
        <w:t>Investment</w:t>
      </w:r>
      <w:r>
        <w:rPr>
          <w:spacing w:val="2"/>
        </w:rPr>
        <w:t xml:space="preserve"> </w:t>
      </w:r>
      <w:r>
        <w:rPr>
          <w:spacing w:val="-2"/>
        </w:rPr>
        <w:t>Fund.</w:t>
      </w:r>
    </w:p>
    <w:p w14:paraId="7E541428" w14:textId="77777777" w:rsidR="00A748BF" w:rsidRDefault="00A748BF" w:rsidP="00A748BF">
      <w:pPr>
        <w:rPr>
          <w:rFonts w:ascii="Arial" w:eastAsia="Arial" w:hAnsi="Arial" w:cs="Arial"/>
          <w:sz w:val="24"/>
          <w:szCs w:val="24"/>
        </w:rPr>
      </w:pPr>
    </w:p>
    <w:p w14:paraId="7A964594" w14:textId="77777777" w:rsidR="00A748BF" w:rsidRDefault="00A748BF" w:rsidP="00A748BF">
      <w:pPr>
        <w:rPr>
          <w:rFonts w:ascii="Arial" w:eastAsia="Arial" w:hAnsi="Arial" w:cs="Arial"/>
          <w:sz w:val="24"/>
          <w:szCs w:val="24"/>
        </w:rPr>
      </w:pPr>
    </w:p>
    <w:p w14:paraId="6CD0002A" w14:textId="77777777" w:rsidR="00A748BF" w:rsidRDefault="00A748BF" w:rsidP="00A748BF">
      <w:pPr>
        <w:rPr>
          <w:rFonts w:ascii="Arial" w:eastAsia="Arial" w:hAnsi="Arial" w:cs="Arial"/>
        </w:rPr>
        <w:sectPr w:rsidR="00A748BF">
          <w:footerReference w:type="default" r:id="rId8"/>
          <w:pgSz w:w="11920" w:h="16850"/>
          <w:pgMar w:top="140" w:right="1080" w:bottom="1500" w:left="800" w:header="0" w:footer="1310" w:gutter="0"/>
          <w:cols w:space="720"/>
        </w:sectPr>
      </w:pPr>
    </w:p>
    <w:p w14:paraId="61CF50FB" w14:textId="360CDA31" w:rsidR="00A748BF" w:rsidRDefault="00A748BF" w:rsidP="00A748BF">
      <w:pPr>
        <w:pStyle w:val="Heading2"/>
        <w:spacing w:line="257" w:lineRule="auto"/>
        <w:ind w:left="100" w:right="868"/>
        <w:rPr>
          <w:spacing w:val="-2"/>
        </w:rPr>
      </w:pPr>
      <w:r>
        <w:lastRenderedPageBreak/>
        <w:t>Re</w:t>
      </w:r>
      <w:r w:rsidR="00C150FE">
        <w:t>p</w:t>
      </w:r>
      <w:r>
        <w:t xml:space="preserve">orting information as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rPr>
          <w:spacing w:val="-2"/>
        </w:rPr>
        <w:t>Infrastructure</w:t>
      </w:r>
      <w:r>
        <w:rPr>
          <w:spacing w:val="2"/>
        </w:rPr>
        <w:t xml:space="preserve"> </w:t>
      </w:r>
      <w:r>
        <w:rPr>
          <w:spacing w:val="-2"/>
        </w:rPr>
        <w:t>Levy</w:t>
      </w:r>
      <w:r>
        <w:rPr>
          <w:spacing w:val="39"/>
        </w:rPr>
        <w:t xml:space="preserve"> </w:t>
      </w:r>
      <w:r>
        <w:t>Regulation</w:t>
      </w:r>
      <w:r>
        <w:rPr>
          <w:spacing w:val="54"/>
        </w:rPr>
        <w:t xml:space="preserve"> </w:t>
      </w:r>
      <w:r>
        <w:rPr>
          <w:spacing w:val="-1"/>
        </w:rPr>
        <w:t>62</w:t>
      </w:r>
      <w:r>
        <w:t xml:space="preserve"> (4) 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4"/>
        </w:rPr>
        <w:t>year</w:t>
      </w:r>
      <w:r>
        <w:rPr>
          <w:spacing w:val="-2"/>
        </w:rPr>
        <w:t xml:space="preserve"> </w:t>
      </w:r>
      <w:r>
        <w:rPr>
          <w:spacing w:val="-1"/>
        </w:rPr>
        <w:t>20</w:t>
      </w:r>
      <w:r w:rsidR="003B201F">
        <w:rPr>
          <w:spacing w:val="-1"/>
        </w:rPr>
        <w:t>19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20</w:t>
      </w:r>
      <w:r w:rsidR="003B201F">
        <w:rPr>
          <w:spacing w:val="-2"/>
        </w:rPr>
        <w:t>20</w:t>
      </w:r>
      <w:r>
        <w:rPr>
          <w:spacing w:val="-2"/>
        </w:rPr>
        <w:t>,</w:t>
      </w:r>
      <w: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 element of</w:t>
      </w:r>
      <w:r>
        <w:rPr>
          <w:spacing w:val="-3"/>
        </w:rPr>
        <w:t xml:space="preserve"> </w:t>
      </w:r>
      <w:r>
        <w:rPr>
          <w:spacing w:val="-1"/>
        </w:rPr>
        <w:t>CIL</w:t>
      </w:r>
      <w:r>
        <w:rPr>
          <w:spacing w:val="-4"/>
        </w:rPr>
        <w:t xml:space="preserve"> </w:t>
      </w:r>
      <w:r>
        <w:t xml:space="preserve">which </w:t>
      </w:r>
      <w:r>
        <w:rPr>
          <w:spacing w:val="-1"/>
        </w:rPr>
        <w:t>is pooled</w:t>
      </w:r>
      <w:r>
        <w:rPr>
          <w:spacing w:val="41"/>
        </w:rPr>
        <w:t xml:space="preserve"> </w:t>
      </w:r>
      <w:r>
        <w:rPr>
          <w:spacing w:val="-2"/>
        </w:rPr>
        <w:t>across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2"/>
        </w:rPr>
        <w:t>authorities</w:t>
      </w:r>
      <w:r>
        <w:rPr>
          <w:spacing w:val="1"/>
        </w:rPr>
        <w:t xml:space="preserve"> </w:t>
      </w:r>
      <w:r>
        <w:t xml:space="preserve">of </w:t>
      </w:r>
      <w:r>
        <w:rPr>
          <w:spacing w:val="-2"/>
        </w:rPr>
        <w:t>Broadland</w:t>
      </w:r>
      <w: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Council, Norwich</w:t>
      </w:r>
      <w:r>
        <w:rPr>
          <w:spacing w:val="-3"/>
        </w:rPr>
        <w:t xml:space="preserve"> </w:t>
      </w:r>
      <w:r>
        <w:t>City</w:t>
      </w:r>
      <w:r>
        <w:rPr>
          <w:spacing w:val="-10"/>
        </w:rPr>
        <w:t xml:space="preserve"> </w:t>
      </w:r>
      <w:r>
        <w:rPr>
          <w:spacing w:val="-1"/>
        </w:rPr>
        <w:t>Council</w:t>
      </w:r>
      <w:r>
        <w:t xml:space="preserve"> and</w:t>
      </w:r>
      <w:r w:rsidR="00D121B9">
        <w:rPr>
          <w:spacing w:val="73"/>
        </w:rPr>
        <w:t xml:space="preserve"> </w:t>
      </w:r>
      <w:r>
        <w:rPr>
          <w:spacing w:val="-1"/>
        </w:rPr>
        <w:t>South</w:t>
      </w:r>
      <w:r>
        <w:t xml:space="preserve"> </w:t>
      </w:r>
      <w:r>
        <w:rPr>
          <w:spacing w:val="-2"/>
        </w:rPr>
        <w:t>Norfolk</w:t>
      </w:r>
      <w:r>
        <w:t xml:space="preserve"> </w:t>
      </w:r>
      <w:r>
        <w:rPr>
          <w:spacing w:val="-2"/>
        </w:rPr>
        <w:t>Council.</w:t>
      </w:r>
    </w:p>
    <w:p w14:paraId="75CCB4E9" w14:textId="77777777" w:rsidR="008633F3" w:rsidRDefault="008633F3" w:rsidP="008633F3">
      <w:pPr>
        <w:pStyle w:val="BodyText"/>
        <w:spacing w:before="2"/>
        <w:ind w:left="100" w:right="638" w:firstLine="0"/>
        <w:rPr>
          <w:spacing w:val="-1"/>
        </w:rPr>
      </w:pPr>
    </w:p>
    <w:p w14:paraId="3A0A8A70" w14:textId="7FB3EC40" w:rsidR="008633F3" w:rsidRDefault="008633F3" w:rsidP="008633F3">
      <w:pPr>
        <w:pStyle w:val="BodyText"/>
        <w:spacing w:before="2"/>
        <w:ind w:left="100" w:right="638" w:firstLine="0"/>
        <w:rPr>
          <w:spacing w:val="-2"/>
        </w:rPr>
      </w:pP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the</w:t>
      </w:r>
      <w:r>
        <w:t xml:space="preserve"> City</w:t>
      </w:r>
      <w:r>
        <w:rPr>
          <w:spacing w:val="-3"/>
        </w:rPr>
        <w:t xml:space="preserve"> </w:t>
      </w:r>
      <w:r>
        <w:t xml:space="preserve">Deals it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agreed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Councils, in </w:t>
      </w:r>
      <w:r>
        <w:rPr>
          <w:spacing w:val="-1"/>
        </w:rPr>
        <w:t>their</w:t>
      </w:r>
      <w:r>
        <w:rPr>
          <w:spacing w:val="6"/>
        </w:rPr>
        <w:t xml:space="preserve"> </w:t>
      </w:r>
      <w:r>
        <w:rPr>
          <w:spacing w:val="-1"/>
        </w:rPr>
        <w:t>reporting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6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CIL,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to </w:t>
      </w:r>
      <w:r>
        <w:rPr>
          <w:spacing w:val="-1"/>
        </w:rPr>
        <w:t>comply 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report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1"/>
        </w:rPr>
        <w:t>individual</w:t>
      </w:r>
      <w:r>
        <w:t xml:space="preserve"> </w:t>
      </w:r>
      <w:r w:rsidR="00A9508A">
        <w:t xml:space="preserve">district and </w:t>
      </w:r>
      <w:r>
        <w:t>projec</w:t>
      </w:r>
      <w:r w:rsidR="00A9508A">
        <w:t>t</w:t>
      </w:r>
      <w:r w:rsidR="00A9508A">
        <w:rPr>
          <w:spacing w:val="63"/>
        </w:rPr>
        <w:t xml:space="preserve"> </w:t>
      </w:r>
      <w:r>
        <w:rPr>
          <w:spacing w:val="-1"/>
        </w:rPr>
        <w:t>level</w:t>
      </w:r>
      <w:r>
        <w:t xml:space="preserve"> the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CIL</w:t>
      </w:r>
      <w:r>
        <w:t xml:space="preserve"> </w:t>
      </w:r>
      <w:r>
        <w:rPr>
          <w:spacing w:val="-1"/>
        </w:rPr>
        <w:t>which</w:t>
      </w:r>
      <w:r>
        <w:t xml:space="preserve"> they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individually</w:t>
      </w:r>
      <w:r>
        <w:rPr>
          <w:spacing w:val="-3"/>
        </w:rPr>
        <w:t xml:space="preserve"> </w:t>
      </w:r>
      <w:r>
        <w:t xml:space="preserve">utilised. </w:t>
      </w:r>
      <w:r>
        <w:rPr>
          <w:spacing w:val="-1"/>
        </w:rPr>
        <w:t>Instead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authorities</w:t>
      </w:r>
      <w:r>
        <w:t xml:space="preserve"> can</w:t>
      </w:r>
      <w:r w:rsidR="00A9508A">
        <w:rPr>
          <w:spacing w:val="71"/>
        </w:rPr>
        <w:t xml:space="preserve"> </w:t>
      </w:r>
      <w:r>
        <w:t>jointly</w:t>
      </w:r>
      <w:r>
        <w:rPr>
          <w:spacing w:val="-3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CIL</w:t>
      </w:r>
      <w: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used</w:t>
      </w:r>
      <w:r>
        <w:rPr>
          <w:spacing w:val="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and</w:t>
      </w:r>
      <w:r>
        <w:t xml:space="preserve"> list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t xml:space="preserve"> projects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t xml:space="preserve"> CIL</w:t>
      </w:r>
      <w:r>
        <w:rPr>
          <w:spacing w:val="49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funded.</w:t>
      </w:r>
      <w:r>
        <w:rPr>
          <w:spacing w:val="-2"/>
        </w:rPr>
        <w:t xml:space="preserve"> </w:t>
      </w:r>
    </w:p>
    <w:p w14:paraId="04E15A02" w14:textId="1B21EE36" w:rsidR="000554F1" w:rsidRPr="00CD020B" w:rsidRDefault="000554F1" w:rsidP="000554F1">
      <w:pPr>
        <w:pStyle w:val="Heading2"/>
        <w:ind w:left="142"/>
        <w:rPr>
          <w:b w:val="0"/>
          <w:spacing w:val="-2"/>
        </w:rPr>
      </w:pPr>
      <w:r w:rsidRPr="00FF7E8F">
        <w:rPr>
          <w:b w:val="0"/>
          <w:spacing w:val="-1"/>
        </w:rPr>
        <w:t>The Total</w:t>
      </w:r>
      <w:r w:rsidRPr="00FF7E8F">
        <w:rPr>
          <w:b w:val="0"/>
          <w:spacing w:val="1"/>
        </w:rPr>
        <w:t xml:space="preserve"> </w:t>
      </w:r>
      <w:r w:rsidRPr="00FF7E8F">
        <w:rPr>
          <w:b w:val="0"/>
        </w:rPr>
        <w:t>CIL</w:t>
      </w:r>
      <w:r w:rsidRPr="00FF7E8F">
        <w:rPr>
          <w:b w:val="0"/>
          <w:spacing w:val="-3"/>
        </w:rPr>
        <w:t xml:space="preserve"> </w:t>
      </w:r>
      <w:r w:rsidRPr="00FF7E8F">
        <w:rPr>
          <w:b w:val="0"/>
          <w:spacing w:val="-2"/>
        </w:rPr>
        <w:t>receipts</w:t>
      </w:r>
      <w:r w:rsidRPr="00FF7E8F">
        <w:rPr>
          <w:b w:val="0"/>
          <w:spacing w:val="-1"/>
        </w:rPr>
        <w:t xml:space="preserve"> </w:t>
      </w:r>
      <w:r w:rsidR="00CD020B">
        <w:rPr>
          <w:b w:val="0"/>
          <w:spacing w:val="-2"/>
        </w:rPr>
        <w:t>owed</w:t>
      </w:r>
      <w:r w:rsidRPr="00FF7E8F">
        <w:rPr>
          <w:b w:val="0"/>
          <w:spacing w:val="1"/>
        </w:rPr>
        <w:t xml:space="preserve"> </w:t>
      </w:r>
      <w:r w:rsidRPr="00FF7E8F">
        <w:rPr>
          <w:b w:val="0"/>
        </w:rPr>
        <w:t>to</w:t>
      </w:r>
      <w:r w:rsidRPr="00FF7E8F">
        <w:rPr>
          <w:b w:val="0"/>
          <w:spacing w:val="-1"/>
        </w:rPr>
        <w:t xml:space="preserve"> </w:t>
      </w:r>
      <w:r w:rsidRPr="00FF7E8F">
        <w:rPr>
          <w:b w:val="0"/>
          <w:spacing w:val="-2"/>
        </w:rPr>
        <w:t>the</w:t>
      </w:r>
      <w:r w:rsidRPr="00FF7E8F">
        <w:rPr>
          <w:b w:val="0"/>
          <w:spacing w:val="1"/>
        </w:rPr>
        <w:t xml:space="preserve"> </w:t>
      </w:r>
      <w:r w:rsidRPr="00FF7E8F">
        <w:rPr>
          <w:b w:val="0"/>
          <w:spacing w:val="-2"/>
        </w:rPr>
        <w:t>Infrastructure</w:t>
      </w:r>
      <w:r w:rsidRPr="00FF7E8F">
        <w:rPr>
          <w:b w:val="0"/>
          <w:spacing w:val="-1"/>
        </w:rPr>
        <w:t xml:space="preserve"> </w:t>
      </w:r>
      <w:r w:rsidRPr="00FF7E8F">
        <w:rPr>
          <w:b w:val="0"/>
          <w:spacing w:val="-2"/>
        </w:rPr>
        <w:t>Investment</w:t>
      </w:r>
      <w:r w:rsidRPr="00FF7E8F">
        <w:rPr>
          <w:b w:val="0"/>
        </w:rPr>
        <w:t xml:space="preserve"> </w:t>
      </w:r>
      <w:r w:rsidRPr="00FF7E8F">
        <w:rPr>
          <w:b w:val="0"/>
          <w:spacing w:val="-2"/>
        </w:rPr>
        <w:t xml:space="preserve">Fund to 31 March </w:t>
      </w:r>
      <w:r w:rsidR="003B201F">
        <w:rPr>
          <w:b w:val="0"/>
          <w:spacing w:val="-2"/>
        </w:rPr>
        <w:t>2020</w:t>
      </w:r>
      <w:r w:rsidRPr="00FF7E8F">
        <w:rPr>
          <w:b w:val="0"/>
          <w:spacing w:val="-2"/>
        </w:rPr>
        <w:t>:</w:t>
      </w:r>
      <w:r>
        <w:rPr>
          <w:spacing w:val="-3"/>
        </w:rPr>
        <w:t xml:space="preserve"> </w:t>
      </w:r>
      <w:r w:rsidR="000C24C0">
        <w:rPr>
          <w:spacing w:val="-2"/>
        </w:rPr>
        <w:t>£</w:t>
      </w:r>
      <w:r w:rsidR="003B201F">
        <w:rPr>
          <w:spacing w:val="-2"/>
        </w:rPr>
        <w:t>22,525,103</w:t>
      </w:r>
      <w:r w:rsidR="00255FF0">
        <w:rPr>
          <w:spacing w:val="-2"/>
        </w:rPr>
        <w:t xml:space="preserve">. </w:t>
      </w:r>
      <w:r w:rsidR="00CD020B">
        <w:rPr>
          <w:b w:val="0"/>
          <w:spacing w:val="-2"/>
        </w:rPr>
        <w:t>CIL receipts</w:t>
      </w:r>
      <w:r w:rsidR="00255FF0" w:rsidRPr="00255FF0">
        <w:rPr>
          <w:b w:val="0"/>
          <w:spacing w:val="-2"/>
        </w:rPr>
        <w:t xml:space="preserve"> </w:t>
      </w:r>
      <w:r w:rsidR="00255FF0">
        <w:rPr>
          <w:b w:val="0"/>
          <w:spacing w:val="-2"/>
        </w:rPr>
        <w:t xml:space="preserve">received by </w:t>
      </w:r>
      <w:r w:rsidR="00255FF0" w:rsidRPr="00FF7E8F">
        <w:rPr>
          <w:b w:val="0"/>
          <w:spacing w:val="-2"/>
        </w:rPr>
        <w:t xml:space="preserve">31 March </w:t>
      </w:r>
      <w:r w:rsidR="003B201F">
        <w:rPr>
          <w:b w:val="0"/>
          <w:spacing w:val="-2"/>
        </w:rPr>
        <w:t>2020</w:t>
      </w:r>
      <w:r w:rsidR="00255FF0">
        <w:rPr>
          <w:b w:val="0"/>
          <w:spacing w:val="-2"/>
        </w:rPr>
        <w:t xml:space="preserve">: </w:t>
      </w:r>
      <w:r w:rsidR="00CD020B" w:rsidRPr="00CD020B">
        <w:rPr>
          <w:spacing w:val="-2"/>
        </w:rPr>
        <w:t>£</w:t>
      </w:r>
      <w:r w:rsidR="003B201F">
        <w:rPr>
          <w:spacing w:val="-2"/>
        </w:rPr>
        <w:t>18,</w:t>
      </w:r>
      <w:r w:rsidR="006464B1">
        <w:rPr>
          <w:spacing w:val="-2"/>
        </w:rPr>
        <w:t>629,301.05</w:t>
      </w:r>
      <w:r w:rsidR="00CD020B" w:rsidRPr="00CD020B">
        <w:rPr>
          <w:b w:val="0"/>
          <w:spacing w:val="-2"/>
        </w:rPr>
        <w:t xml:space="preserve"> (Q3-4 receipts arrive in Q1-2 of the following year).</w:t>
      </w:r>
    </w:p>
    <w:p w14:paraId="307CD456" w14:textId="77777777" w:rsidR="008633F3" w:rsidRPr="00CD020B" w:rsidRDefault="008633F3" w:rsidP="00A748BF">
      <w:pPr>
        <w:pStyle w:val="BodyText"/>
        <w:spacing w:before="2"/>
        <w:ind w:left="100" w:right="638" w:firstLine="0"/>
        <w:rPr>
          <w:spacing w:val="-1"/>
        </w:rPr>
      </w:pPr>
    </w:p>
    <w:p w14:paraId="6962A6CA" w14:textId="1AA1C744" w:rsidR="00A748BF" w:rsidRDefault="000554F1" w:rsidP="00A748BF">
      <w:pPr>
        <w:pStyle w:val="BodyText"/>
        <w:spacing w:before="2"/>
        <w:ind w:left="100" w:right="638" w:firstLine="0"/>
        <w:rPr>
          <w:spacing w:val="-1"/>
        </w:rPr>
      </w:pPr>
      <w:r>
        <w:rPr>
          <w:spacing w:val="-1"/>
        </w:rPr>
        <w:t>The below table shows the annual CIL receipted by each Greater Norwich district.</w:t>
      </w:r>
    </w:p>
    <w:p w14:paraId="51F9603A" w14:textId="77777777" w:rsidR="00A748BF" w:rsidRDefault="00A748BF" w:rsidP="00A748BF">
      <w:pPr>
        <w:spacing w:before="3"/>
        <w:rPr>
          <w:rFonts w:ascii="Arial" w:eastAsia="Arial" w:hAnsi="Arial" w:cs="Arial"/>
          <w:sz w:val="21"/>
          <w:szCs w:val="21"/>
        </w:rPr>
      </w:pPr>
    </w:p>
    <w:p w14:paraId="7719B721" w14:textId="77777777" w:rsidR="00A748BF" w:rsidRDefault="00A748BF" w:rsidP="00A748BF">
      <w:pPr>
        <w:spacing w:before="9"/>
        <w:rPr>
          <w:rFonts w:ascii="Arial" w:eastAsia="Arial" w:hAnsi="Arial" w:cs="Arial"/>
          <w:sz w:val="6"/>
          <w:szCs w:val="6"/>
        </w:rPr>
      </w:pPr>
    </w:p>
    <w:tbl>
      <w:tblPr>
        <w:tblW w:w="7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751"/>
        <w:gridCol w:w="1885"/>
        <w:gridCol w:w="1885"/>
      </w:tblGrid>
      <w:tr w:rsidR="000E7D05" w:rsidRPr="00D639C2" w14:paraId="15DBEEB7" w14:textId="75C24746" w:rsidTr="000E7D05">
        <w:trPr>
          <w:trHeight w:val="31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05679" w14:textId="77777777" w:rsidR="000E7D05" w:rsidRPr="00D639C2" w:rsidRDefault="000E7D05" w:rsidP="00D639C2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EFBEF" w14:textId="77777777" w:rsidR="000E7D05" w:rsidRPr="00D639C2" w:rsidRDefault="000E7D05" w:rsidP="00D639C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639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2017/18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3E3EF" w14:textId="77777777" w:rsidR="000E7D05" w:rsidRPr="00D639C2" w:rsidRDefault="000E7D05" w:rsidP="00D639C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639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2018/19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9354C3B" w14:textId="1186A08D" w:rsidR="000E7D05" w:rsidRPr="00D639C2" w:rsidRDefault="003B201F" w:rsidP="00D639C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2019/20</w:t>
            </w:r>
          </w:p>
        </w:tc>
      </w:tr>
      <w:tr w:rsidR="003B201F" w:rsidRPr="00D639C2" w14:paraId="171D693C" w14:textId="4CBA3A64" w:rsidTr="00E5065A">
        <w:trPr>
          <w:trHeight w:val="300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61A060" w14:textId="77777777" w:rsidR="003B201F" w:rsidRPr="00D639C2" w:rsidRDefault="003B201F" w:rsidP="003B201F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639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Broadland</w:t>
            </w:r>
          </w:p>
        </w:tc>
        <w:tc>
          <w:tcPr>
            <w:tcW w:w="175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C24F1A" w14:textId="77777777" w:rsidR="003B201F" w:rsidRPr="00D639C2" w:rsidRDefault="003B201F" w:rsidP="003B201F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D639C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£1,345,002.25</w:t>
            </w:r>
          </w:p>
        </w:tc>
        <w:tc>
          <w:tcPr>
            <w:tcW w:w="188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614EEC" w14:textId="77777777" w:rsidR="003B201F" w:rsidRPr="00D639C2" w:rsidRDefault="003B201F" w:rsidP="003B201F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D639C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£1,910,239.90</w:t>
            </w:r>
          </w:p>
        </w:tc>
        <w:tc>
          <w:tcPr>
            <w:tcW w:w="1885" w:type="dxa"/>
            <w:tcBorders>
              <w:top w:val="single" w:sz="12" w:space="0" w:color="auto"/>
            </w:tcBorders>
            <w:vAlign w:val="bottom"/>
          </w:tcPr>
          <w:p w14:paraId="1F5EE8B2" w14:textId="7EBBE5BF" w:rsidR="003B201F" w:rsidRPr="003B201F" w:rsidRDefault="003B201F" w:rsidP="003B201F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3B201F">
              <w:rPr>
                <w:rFonts w:ascii="Arial" w:hAnsi="Arial" w:cs="Arial"/>
                <w:color w:val="000000"/>
                <w:sz w:val="24"/>
                <w:szCs w:val="24"/>
              </w:rPr>
              <w:t>£2,783,143.64</w:t>
            </w:r>
          </w:p>
        </w:tc>
      </w:tr>
      <w:tr w:rsidR="003B201F" w:rsidRPr="00D639C2" w14:paraId="44307A00" w14:textId="1711AA64" w:rsidTr="00E5065A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E5AF0CC" w14:textId="77777777" w:rsidR="003B201F" w:rsidRPr="00D639C2" w:rsidRDefault="003B201F" w:rsidP="003B201F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639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Norwich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14:paraId="73CC40B0" w14:textId="77777777" w:rsidR="003B201F" w:rsidRPr="00D639C2" w:rsidRDefault="003B201F" w:rsidP="003B201F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D639C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£635,043.65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DDA8BC2" w14:textId="77777777" w:rsidR="003B201F" w:rsidRPr="00D639C2" w:rsidRDefault="003B201F" w:rsidP="003B201F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D639C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£713,093.25</w:t>
            </w:r>
          </w:p>
        </w:tc>
        <w:tc>
          <w:tcPr>
            <w:tcW w:w="1885" w:type="dxa"/>
            <w:vAlign w:val="bottom"/>
          </w:tcPr>
          <w:p w14:paraId="1BC27ADF" w14:textId="0969D517" w:rsidR="003B201F" w:rsidRPr="003B201F" w:rsidRDefault="003B201F" w:rsidP="003B201F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3B201F">
              <w:rPr>
                <w:rFonts w:ascii="Arial" w:hAnsi="Arial" w:cs="Arial"/>
                <w:color w:val="000000"/>
                <w:sz w:val="24"/>
                <w:szCs w:val="24"/>
              </w:rPr>
              <w:t>£711,268.00</w:t>
            </w:r>
          </w:p>
        </w:tc>
      </w:tr>
      <w:tr w:rsidR="003B201F" w:rsidRPr="00D639C2" w14:paraId="3B6337BD" w14:textId="0EF08DDD" w:rsidTr="00E5065A">
        <w:trPr>
          <w:trHeight w:val="300"/>
        </w:trPr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C53AD4" w14:textId="77777777" w:rsidR="003B201F" w:rsidRPr="00D639C2" w:rsidRDefault="003B201F" w:rsidP="003B201F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639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South Norfolk</w:t>
            </w:r>
          </w:p>
        </w:tc>
        <w:tc>
          <w:tcPr>
            <w:tcW w:w="175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1DB455" w14:textId="77777777" w:rsidR="003B201F" w:rsidRPr="00D639C2" w:rsidRDefault="003B201F" w:rsidP="003B201F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D639C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£1,353,525.23</w:t>
            </w:r>
          </w:p>
        </w:tc>
        <w:tc>
          <w:tcPr>
            <w:tcW w:w="188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9C1F21" w14:textId="77777777" w:rsidR="003B201F" w:rsidRPr="00D639C2" w:rsidRDefault="003B201F" w:rsidP="003B201F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D639C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£3,086,343.31</w:t>
            </w:r>
          </w:p>
        </w:tc>
        <w:tc>
          <w:tcPr>
            <w:tcW w:w="1885" w:type="dxa"/>
            <w:tcBorders>
              <w:bottom w:val="single" w:sz="12" w:space="0" w:color="auto"/>
            </w:tcBorders>
            <w:vAlign w:val="bottom"/>
          </w:tcPr>
          <w:p w14:paraId="3D7F0A63" w14:textId="3C207AD8" w:rsidR="003B201F" w:rsidRPr="003B201F" w:rsidRDefault="003B201F" w:rsidP="003B201F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3B201F">
              <w:rPr>
                <w:rFonts w:ascii="Arial" w:hAnsi="Arial" w:cs="Arial"/>
                <w:color w:val="000000"/>
                <w:sz w:val="24"/>
                <w:szCs w:val="24"/>
              </w:rPr>
              <w:t>£3,375,948.55</w:t>
            </w:r>
          </w:p>
        </w:tc>
      </w:tr>
      <w:tr w:rsidR="003B201F" w:rsidRPr="00D639C2" w14:paraId="35D19618" w14:textId="4DBE4D28" w:rsidTr="00E5065A">
        <w:trPr>
          <w:trHeight w:val="300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5E2626" w14:textId="77777777" w:rsidR="003B201F" w:rsidRPr="00D639C2" w:rsidRDefault="003B201F" w:rsidP="003B201F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639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TOTAL</w:t>
            </w:r>
          </w:p>
        </w:tc>
        <w:tc>
          <w:tcPr>
            <w:tcW w:w="17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9E5315" w14:textId="77777777" w:rsidR="003B201F" w:rsidRPr="00D639C2" w:rsidRDefault="003B201F" w:rsidP="003B201F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639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£3,333,571.13</w:t>
            </w:r>
          </w:p>
        </w:tc>
        <w:tc>
          <w:tcPr>
            <w:tcW w:w="18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E62977" w14:textId="77777777" w:rsidR="003B201F" w:rsidRPr="00D639C2" w:rsidRDefault="003B201F" w:rsidP="003B201F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639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£5,709,676.46</w:t>
            </w:r>
          </w:p>
        </w:tc>
        <w:tc>
          <w:tcPr>
            <w:tcW w:w="188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8A2E587" w14:textId="45157FBE" w:rsidR="003B201F" w:rsidRPr="003B201F" w:rsidRDefault="003B201F" w:rsidP="003B201F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B20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£6,870,360.19</w:t>
            </w:r>
          </w:p>
        </w:tc>
      </w:tr>
      <w:tr w:rsidR="003B201F" w:rsidRPr="00D639C2" w14:paraId="55D6505C" w14:textId="3C4C3865" w:rsidTr="00E5065A">
        <w:trPr>
          <w:trHeight w:val="300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77E4B8" w14:textId="77777777" w:rsidR="003B201F" w:rsidRPr="00D639C2" w:rsidRDefault="003B201F" w:rsidP="003B201F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639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Cumulative Total</w:t>
            </w:r>
          </w:p>
        </w:tc>
        <w:tc>
          <w:tcPr>
            <w:tcW w:w="175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23622C" w14:textId="77777777" w:rsidR="003B201F" w:rsidRPr="00D639C2" w:rsidRDefault="003B201F" w:rsidP="003B201F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D639C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£9,945,076.61</w:t>
            </w:r>
          </w:p>
        </w:tc>
        <w:tc>
          <w:tcPr>
            <w:tcW w:w="188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7A1DCE" w14:textId="77777777" w:rsidR="003B201F" w:rsidRPr="00D639C2" w:rsidRDefault="003B201F" w:rsidP="003B201F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D639C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£15,654,753.07</w:t>
            </w:r>
          </w:p>
        </w:tc>
        <w:tc>
          <w:tcPr>
            <w:tcW w:w="1885" w:type="dxa"/>
            <w:tcBorders>
              <w:top w:val="single" w:sz="12" w:space="0" w:color="auto"/>
            </w:tcBorders>
            <w:vAlign w:val="bottom"/>
          </w:tcPr>
          <w:p w14:paraId="531C580D" w14:textId="64D27C9B" w:rsidR="003B201F" w:rsidRPr="003B201F" w:rsidRDefault="003B201F" w:rsidP="003B201F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3B201F">
              <w:rPr>
                <w:rFonts w:ascii="Arial" w:hAnsi="Arial" w:cs="Arial"/>
                <w:color w:val="000000"/>
                <w:sz w:val="24"/>
                <w:szCs w:val="24"/>
              </w:rPr>
              <w:t>£22,525,103.26</w:t>
            </w:r>
          </w:p>
        </w:tc>
      </w:tr>
    </w:tbl>
    <w:p w14:paraId="3FF16C42" w14:textId="77777777" w:rsidR="00D639C2" w:rsidRDefault="00D639C2" w:rsidP="008633F3">
      <w:pPr>
        <w:pStyle w:val="Heading2"/>
        <w:ind w:left="0"/>
        <w:rPr>
          <w:b w:val="0"/>
          <w:bCs w:val="0"/>
        </w:rPr>
      </w:pPr>
    </w:p>
    <w:p w14:paraId="1D4A863C" w14:textId="2AB013B9" w:rsidR="00744865" w:rsidRDefault="0042705F" w:rsidP="008633F3">
      <w:pPr>
        <w:pStyle w:val="Heading2"/>
        <w:ind w:left="0"/>
        <w:rPr>
          <w:b w:val="0"/>
          <w:bCs w:val="0"/>
        </w:rPr>
      </w:pPr>
      <w:r>
        <w:rPr>
          <w:b w:val="0"/>
          <w:bCs w:val="0"/>
        </w:rPr>
        <w:t xml:space="preserve">The Infrastructure Investment Fund is used to </w:t>
      </w:r>
      <w:r w:rsidR="00B85BB4">
        <w:rPr>
          <w:b w:val="0"/>
          <w:bCs w:val="0"/>
        </w:rPr>
        <w:t xml:space="preserve">support the </w:t>
      </w:r>
      <w:r>
        <w:rPr>
          <w:b w:val="0"/>
          <w:bCs w:val="0"/>
        </w:rPr>
        <w:t>deliver</w:t>
      </w:r>
      <w:r w:rsidR="00B85BB4">
        <w:rPr>
          <w:b w:val="0"/>
          <w:bCs w:val="0"/>
        </w:rPr>
        <w:t>y</w:t>
      </w:r>
      <w:r>
        <w:rPr>
          <w:b w:val="0"/>
          <w:bCs w:val="0"/>
        </w:rPr>
        <w:t xml:space="preserve"> </w:t>
      </w:r>
      <w:r w:rsidR="00B85BB4">
        <w:rPr>
          <w:b w:val="0"/>
          <w:bCs w:val="0"/>
        </w:rPr>
        <w:t xml:space="preserve">of </w:t>
      </w:r>
      <w:r>
        <w:rPr>
          <w:b w:val="0"/>
          <w:bCs w:val="0"/>
        </w:rPr>
        <w:t>a capital programme of projects which is approved annually by the Greater Norwich Growth Board. The</w:t>
      </w:r>
      <w:r w:rsidR="0085186F">
        <w:rPr>
          <w:b w:val="0"/>
          <w:bCs w:val="0"/>
        </w:rPr>
        <w:t xml:space="preserve"> list </w:t>
      </w:r>
      <w:r>
        <w:rPr>
          <w:b w:val="0"/>
          <w:bCs w:val="0"/>
        </w:rPr>
        <w:t xml:space="preserve">of projects approved by the </w:t>
      </w:r>
      <w:r w:rsidR="004027B5">
        <w:rPr>
          <w:b w:val="0"/>
          <w:bCs w:val="0"/>
        </w:rPr>
        <w:t>Board</w:t>
      </w:r>
      <w:r>
        <w:rPr>
          <w:b w:val="0"/>
          <w:bCs w:val="0"/>
        </w:rPr>
        <w:t xml:space="preserve"> to receive funding from the IIF is called the Growth Programme. The latest Growth Programme is available </w:t>
      </w:r>
      <w:r w:rsidR="00B85BB4">
        <w:rPr>
          <w:b w:val="0"/>
          <w:bCs w:val="0"/>
        </w:rPr>
        <w:t xml:space="preserve">to view here: </w:t>
      </w:r>
      <w:hyperlink r:id="rId9">
        <w:r w:rsidR="00B85BB4" w:rsidRPr="004C38BA">
          <w:rPr>
            <w:color w:val="0461C1"/>
            <w:spacing w:val="-2"/>
            <w:u w:val="single" w:color="0461C1"/>
          </w:rPr>
          <w:t>http://www.greaternorwichgrowth.org.uk/delivery/growth-programme/</w:t>
        </w:r>
      </w:hyperlink>
    </w:p>
    <w:p w14:paraId="4AEAE5C0" w14:textId="77777777" w:rsidR="008633F3" w:rsidRDefault="008633F3" w:rsidP="008633F3">
      <w:pPr>
        <w:pStyle w:val="Heading2"/>
        <w:ind w:left="0"/>
        <w:rPr>
          <w:b w:val="0"/>
          <w:bCs w:val="0"/>
        </w:rPr>
      </w:pPr>
    </w:p>
    <w:p w14:paraId="5D7F95CF" w14:textId="086931E5" w:rsidR="00410042" w:rsidRDefault="00B85BB4" w:rsidP="008633F3">
      <w:pPr>
        <w:pStyle w:val="Heading2"/>
        <w:ind w:left="0"/>
        <w:rPr>
          <w:b w:val="0"/>
          <w:spacing w:val="-2"/>
        </w:rPr>
      </w:pPr>
      <w:r>
        <w:rPr>
          <w:b w:val="0"/>
          <w:bCs w:val="0"/>
        </w:rPr>
        <w:t>The total CIL</w:t>
      </w:r>
      <w:r w:rsidRPr="00B85BB4">
        <w:rPr>
          <w:b w:val="0"/>
          <w:spacing w:val="-1"/>
        </w:rPr>
        <w:t xml:space="preserve"> </w:t>
      </w:r>
      <w:r>
        <w:rPr>
          <w:b w:val="0"/>
          <w:spacing w:val="-1"/>
        </w:rPr>
        <w:t>expenditure</w:t>
      </w:r>
      <w:r>
        <w:rPr>
          <w:b w:val="0"/>
        </w:rPr>
        <w:t xml:space="preserve"> and </w:t>
      </w:r>
      <w:r>
        <w:rPr>
          <w:b w:val="0"/>
          <w:spacing w:val="-2"/>
        </w:rPr>
        <w:t>the</w:t>
      </w:r>
      <w:r>
        <w:rPr>
          <w:b w:val="0"/>
          <w:spacing w:val="-1"/>
        </w:rPr>
        <w:t xml:space="preserve"> </w:t>
      </w:r>
      <w:r>
        <w:rPr>
          <w:b w:val="0"/>
          <w:spacing w:val="-2"/>
        </w:rPr>
        <w:t>items</w:t>
      </w:r>
      <w:r>
        <w:rPr>
          <w:b w:val="0"/>
          <w:spacing w:val="-1"/>
        </w:rPr>
        <w:t xml:space="preserve"> of</w:t>
      </w:r>
      <w:r>
        <w:rPr>
          <w:b w:val="0"/>
          <w:spacing w:val="-3"/>
        </w:rPr>
        <w:t xml:space="preserve"> </w:t>
      </w:r>
      <w:r>
        <w:rPr>
          <w:b w:val="0"/>
          <w:spacing w:val="-2"/>
        </w:rPr>
        <w:t>infrastructure</w:t>
      </w:r>
      <w:r>
        <w:rPr>
          <w:b w:val="0"/>
          <w:spacing w:val="1"/>
        </w:rPr>
        <w:t xml:space="preserve"> </w:t>
      </w:r>
      <w:r>
        <w:rPr>
          <w:b w:val="0"/>
          <w:spacing w:val="-1"/>
        </w:rPr>
        <w:t>to</w:t>
      </w:r>
      <w:r>
        <w:rPr>
          <w:b w:val="0"/>
          <w:spacing w:val="-7"/>
        </w:rPr>
        <w:t xml:space="preserve"> </w:t>
      </w:r>
      <w:r>
        <w:rPr>
          <w:b w:val="0"/>
          <w:spacing w:val="-1"/>
        </w:rPr>
        <w:t>which</w:t>
      </w:r>
      <w:r>
        <w:rPr>
          <w:b w:val="0"/>
          <w:spacing w:val="1"/>
        </w:rPr>
        <w:t xml:space="preserve"> </w:t>
      </w:r>
      <w:r>
        <w:rPr>
          <w:b w:val="0"/>
        </w:rPr>
        <w:t xml:space="preserve">CIL </w:t>
      </w:r>
      <w:r>
        <w:rPr>
          <w:b w:val="0"/>
          <w:spacing w:val="-1"/>
        </w:rPr>
        <w:t>has been a</w:t>
      </w:r>
      <w:r w:rsidR="00993D81">
        <w:rPr>
          <w:b w:val="0"/>
          <w:spacing w:val="-2"/>
        </w:rPr>
        <w:t xml:space="preserve">pplied to date is </w:t>
      </w:r>
      <w:r w:rsidR="00DB576D" w:rsidRPr="00E24474">
        <w:rPr>
          <w:rFonts w:eastAsia="Times New Roman" w:cs="Arial"/>
          <w:bCs w:val="0"/>
          <w:color w:val="000000"/>
          <w:lang w:eastAsia="en-GB"/>
        </w:rPr>
        <w:t>£</w:t>
      </w:r>
      <w:r w:rsidR="00A057E6">
        <w:rPr>
          <w:rFonts w:eastAsia="Times New Roman" w:cs="Arial"/>
          <w:lang w:val="en-GB" w:eastAsia="en-GB"/>
        </w:rPr>
        <w:t>12</w:t>
      </w:r>
      <w:r w:rsidR="00F05FF7">
        <w:rPr>
          <w:rFonts w:eastAsia="Times New Roman" w:cs="Arial"/>
          <w:lang w:val="en-GB" w:eastAsia="en-GB"/>
        </w:rPr>
        <w:t>,</w:t>
      </w:r>
      <w:bookmarkStart w:id="0" w:name="_GoBack"/>
      <w:bookmarkEnd w:id="0"/>
      <w:r w:rsidR="00AA1F09" w:rsidRPr="00372B51">
        <w:rPr>
          <w:rFonts w:eastAsia="Times New Roman" w:cs="Arial"/>
          <w:color w:val="000000"/>
          <w:lang w:val="en-GB" w:eastAsia="en-GB"/>
        </w:rPr>
        <w:t>392,119</w:t>
      </w:r>
      <w:r w:rsidR="00AA1F09">
        <w:rPr>
          <w:rFonts w:eastAsia="Times New Roman" w:cs="Arial"/>
          <w:color w:val="000000"/>
          <w:lang w:val="en-GB" w:eastAsia="en-GB"/>
        </w:rPr>
        <w:t xml:space="preserve"> </w:t>
      </w:r>
      <w:r w:rsidR="00FF7E8F" w:rsidRPr="00FF7E8F">
        <w:rPr>
          <w:rFonts w:eastAsia="Times New Roman" w:cs="Arial"/>
          <w:b w:val="0"/>
          <w:color w:val="000000"/>
          <w:lang w:eastAsia="en-GB"/>
        </w:rPr>
        <w:t xml:space="preserve">as </w:t>
      </w:r>
      <w:r w:rsidR="00993D81" w:rsidRPr="00FF7E8F">
        <w:rPr>
          <w:b w:val="0"/>
          <w:spacing w:val="-2"/>
        </w:rPr>
        <w:t xml:space="preserve">shown in the table below: </w:t>
      </w:r>
    </w:p>
    <w:p w14:paraId="1AE6DFC2" w14:textId="1061F491" w:rsidR="00FF7E8F" w:rsidRDefault="00FF7E8F" w:rsidP="00FF7E8F">
      <w:pPr>
        <w:pStyle w:val="Heading2"/>
        <w:ind w:left="142"/>
        <w:rPr>
          <w:rFonts w:eastAsia="Times New Roman" w:cs="Arial"/>
          <w:color w:val="000000"/>
          <w:lang w:eastAsia="en-GB"/>
        </w:rPr>
      </w:pPr>
    </w:p>
    <w:tbl>
      <w:tblPr>
        <w:tblW w:w="8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785"/>
      </w:tblGrid>
      <w:tr w:rsidR="00ED471E" w:rsidRPr="00ED471E" w14:paraId="4530BDE1" w14:textId="77777777" w:rsidTr="00341C7E">
        <w:trPr>
          <w:trHeight w:val="255"/>
        </w:trPr>
        <w:tc>
          <w:tcPr>
            <w:tcW w:w="6658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6D84525F" w14:textId="77777777" w:rsidR="00ED471E" w:rsidRPr="00ED471E" w:rsidRDefault="00ED471E" w:rsidP="00CA49E3">
            <w:pPr>
              <w:widowControl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ED471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Project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58EADD18" w14:textId="77777777" w:rsidR="00ED471E" w:rsidRPr="00ED471E" w:rsidRDefault="00ED471E" w:rsidP="00CF1E47">
            <w:pPr>
              <w:widowControl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ED471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Total Drawdown to 018/19</w:t>
            </w:r>
          </w:p>
        </w:tc>
      </w:tr>
      <w:tr w:rsidR="00CF1E47" w:rsidRPr="001D4435" w14:paraId="069FCDE0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37743" w14:textId="77777777" w:rsidR="001D4435" w:rsidRPr="001D4435" w:rsidRDefault="001D4435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GP1 Harrisons’ Wood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325D8" w14:textId="77777777" w:rsidR="001D4435" w:rsidRPr="001D4435" w:rsidRDefault="001D4435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£43,749</w:t>
            </w:r>
          </w:p>
        </w:tc>
      </w:tr>
      <w:tr w:rsidR="00CF1E47" w:rsidRPr="001D4435" w14:paraId="2B6D8EFC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9CE56" w14:textId="77777777" w:rsidR="001D4435" w:rsidRPr="001D4435" w:rsidRDefault="001D4435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GP2 Danby Wood 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D8969" w14:textId="77777777" w:rsidR="001D4435" w:rsidRPr="001D4435" w:rsidRDefault="001D4435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£25,862</w:t>
            </w:r>
          </w:p>
        </w:tc>
      </w:tr>
      <w:tr w:rsidR="00CF1E47" w:rsidRPr="001D4435" w14:paraId="4B40B922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32D8B" w14:textId="77777777" w:rsidR="001D4435" w:rsidRPr="001D4435" w:rsidRDefault="001D4435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GP3 Marston Marsh 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6F8B9" w14:textId="77777777" w:rsidR="001D4435" w:rsidRPr="001D4435" w:rsidRDefault="001D4435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£24,445</w:t>
            </w:r>
          </w:p>
        </w:tc>
      </w:tr>
      <w:tr w:rsidR="00CF1E47" w:rsidRPr="001D4435" w14:paraId="394742D9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B24CC" w14:textId="77777777" w:rsidR="001D4435" w:rsidRPr="001D4435" w:rsidRDefault="001D4435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GP4 Earlham Millennium Green - Phase 1 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F589C" w14:textId="77777777" w:rsidR="001D4435" w:rsidRPr="001D4435" w:rsidRDefault="001D4435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£3,160</w:t>
            </w:r>
          </w:p>
        </w:tc>
      </w:tr>
      <w:tr w:rsidR="00CF1E47" w:rsidRPr="001D4435" w14:paraId="17434641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C4124" w14:textId="77777777" w:rsidR="001D4435" w:rsidRPr="001D4435" w:rsidRDefault="001D4435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GP5 Riverside Walk 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BF8C5" w14:textId="77777777" w:rsidR="001D4435" w:rsidRPr="001D4435" w:rsidRDefault="001D4435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£48,361</w:t>
            </w:r>
          </w:p>
        </w:tc>
      </w:tr>
      <w:tr w:rsidR="00CF1E47" w:rsidRPr="001D4435" w14:paraId="56F24B9E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AF74B" w14:textId="77777777" w:rsidR="001D4435" w:rsidRPr="001D4435" w:rsidRDefault="001D4435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GP6 Marriott’s Way - Phase 1 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DBD41" w14:textId="77777777" w:rsidR="001D4435" w:rsidRPr="001D4435" w:rsidRDefault="001D4435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£60,000</w:t>
            </w:r>
          </w:p>
        </w:tc>
      </w:tr>
      <w:tr w:rsidR="00CF1E47" w:rsidRPr="001D4435" w14:paraId="4649CC14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BC08B" w14:textId="77777777" w:rsidR="001D4435" w:rsidRPr="001D4435" w:rsidRDefault="001D4435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GP7 Norwich Health Walks 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66DA8" w14:textId="77777777" w:rsidR="001D4435" w:rsidRPr="001D4435" w:rsidRDefault="001D4435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£37,852</w:t>
            </w:r>
          </w:p>
        </w:tc>
      </w:tr>
      <w:tr w:rsidR="00CF1E47" w:rsidRPr="001D4435" w14:paraId="7B77D47A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6F375" w14:textId="77777777" w:rsidR="001D4435" w:rsidRPr="001D4435" w:rsidRDefault="001D4435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GP8 Earlham Millennium Green - Phase 2 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6A154" w14:textId="77777777" w:rsidR="001D4435" w:rsidRPr="001D4435" w:rsidRDefault="001D4435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£52,121</w:t>
            </w:r>
          </w:p>
        </w:tc>
      </w:tr>
      <w:tr w:rsidR="00CF1E47" w:rsidRPr="001D4435" w14:paraId="1002B2CE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F38AB" w14:textId="77777777" w:rsidR="001D4435" w:rsidRPr="001D4435" w:rsidRDefault="001D4435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GP9 Marriott’s Way - Phase 2 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DC4C6" w14:textId="77777777" w:rsidR="001D4435" w:rsidRPr="001D4435" w:rsidRDefault="001D4435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£237,279</w:t>
            </w:r>
          </w:p>
        </w:tc>
      </w:tr>
      <w:tr w:rsidR="00CF1E47" w:rsidRPr="00ED471E" w14:paraId="1EFB04DE" w14:textId="77777777" w:rsidTr="00341C7E">
        <w:trPr>
          <w:trHeight w:val="300"/>
        </w:trPr>
        <w:tc>
          <w:tcPr>
            <w:tcW w:w="6658" w:type="dxa"/>
            <w:shd w:val="clear" w:color="auto" w:fill="auto"/>
            <w:noWrap/>
            <w:hideMark/>
          </w:tcPr>
          <w:p w14:paraId="4F035832" w14:textId="77777777" w:rsidR="00CF1E47" w:rsidRPr="00ED471E" w:rsidRDefault="00CF1E47" w:rsidP="00E5065A">
            <w:pPr>
              <w:widowControl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ED471E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GP10-GP19</w:t>
            </w:r>
            <w:r w:rsidRPr="00CA49E3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Pr="00ED471E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NATS Programme</w:t>
            </w:r>
            <w:r w:rsidRPr="00CA49E3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*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4E5B488C" w14:textId="77777777" w:rsidR="00CF1E47" w:rsidRPr="00ED471E" w:rsidRDefault="00CF1E47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ED471E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£1,256,000</w:t>
            </w:r>
          </w:p>
        </w:tc>
      </w:tr>
      <w:tr w:rsidR="00CF1E47" w:rsidRPr="001D4435" w14:paraId="77AE4152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234C7" w14:textId="77777777" w:rsidR="001D4435" w:rsidRPr="001D4435" w:rsidRDefault="001D4435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GP22 Pink Pedalway - Heathgate 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F9E71" w14:textId="77777777" w:rsidR="001D4435" w:rsidRPr="001D4435" w:rsidRDefault="001D4435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£150,000</w:t>
            </w:r>
          </w:p>
        </w:tc>
      </w:tr>
      <w:tr w:rsidR="00CF1E47" w:rsidRPr="001D4435" w14:paraId="42775802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CD2AF" w14:textId="77777777" w:rsidR="001D4435" w:rsidRPr="001D4435" w:rsidRDefault="001D4435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lastRenderedPageBreak/>
              <w:t>GP23 Carrow Bridge to Deal Ground riverside path 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B72FE" w14:textId="77777777" w:rsidR="001D4435" w:rsidRPr="001D4435" w:rsidRDefault="001D4435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£29,424</w:t>
            </w:r>
          </w:p>
        </w:tc>
      </w:tr>
      <w:tr w:rsidR="00CF1E47" w:rsidRPr="001D4435" w14:paraId="379FD2C9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8277B" w14:textId="77777777" w:rsidR="001D4435" w:rsidRPr="001D4435" w:rsidRDefault="001D4435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GP24 NATS - Colney River Crossing (NRP to Threescore) 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F82F5" w14:textId="67C0F640" w:rsidR="001D4435" w:rsidRPr="001D4435" w:rsidRDefault="001D4435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</w:t>
            </w:r>
            <w:r w:rsidR="00341C7E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167,77</w:t>
            </w:r>
            <w:r w:rsidR="007A1B9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7</w:t>
            </w:r>
          </w:p>
        </w:tc>
      </w:tr>
      <w:tr w:rsidR="00CF1E47" w:rsidRPr="001D4435" w14:paraId="7066274F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64470" w14:textId="77777777" w:rsidR="001D4435" w:rsidRPr="001D4435" w:rsidRDefault="001D4435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GP25 NDR interest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C20E1" w14:textId="77777777" w:rsidR="001D4435" w:rsidRPr="001D4435" w:rsidRDefault="001D4435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£2,660,428</w:t>
            </w:r>
          </w:p>
        </w:tc>
      </w:tr>
      <w:tr w:rsidR="00CF1E47" w:rsidRPr="001D4435" w14:paraId="680FC795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EFE28" w14:textId="77777777" w:rsidR="001D4435" w:rsidRPr="001D4435" w:rsidRDefault="001D4435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Loan repayment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91321" w14:textId="77777777" w:rsidR="001D4435" w:rsidRPr="001D4435" w:rsidRDefault="001D4435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£4,069,215</w:t>
            </w:r>
          </w:p>
        </w:tc>
      </w:tr>
      <w:tr w:rsidR="00372B51" w:rsidRPr="001D4435" w14:paraId="3610725E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52307" w14:textId="52D8E3B0" w:rsidR="00372B51" w:rsidRPr="001D4435" w:rsidRDefault="00372B51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NDR loan set-up fee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D8628" w14:textId="532D114D" w:rsidR="00372B51" w:rsidRPr="001D4435" w:rsidRDefault="00372B51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£14,000</w:t>
            </w:r>
          </w:p>
        </w:tc>
      </w:tr>
      <w:tr w:rsidR="002A4F46" w:rsidRPr="001D4435" w14:paraId="1C3FA9BC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1A2FD" w14:textId="6E00D211" w:rsidR="002A4F46" w:rsidRPr="001D4435" w:rsidRDefault="002A4F46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GP27 Lizard and Silfield Nature Reserves 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6985A" w14:textId="665A976E" w:rsidR="002A4F46" w:rsidRPr="001D4435" w:rsidRDefault="002A4F46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£14,425</w:t>
            </w:r>
          </w:p>
        </w:tc>
      </w:tr>
      <w:tr w:rsidR="002A4F46" w:rsidRPr="001D4435" w14:paraId="7B7399A8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F60A5" w14:textId="3C1D5FD2" w:rsidR="002A4F46" w:rsidRPr="001D4435" w:rsidRDefault="002A4F46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GP29 Barn Road Gateway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B817E" w14:textId="4EE6A30D" w:rsidR="002A4F46" w:rsidRPr="001D4435" w:rsidRDefault="002A4F46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£45,632</w:t>
            </w:r>
          </w:p>
        </w:tc>
      </w:tr>
      <w:tr w:rsidR="002A4F46" w:rsidRPr="001D4435" w14:paraId="623D4181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ACEE6" w14:textId="798D8D97" w:rsidR="002A4F46" w:rsidRPr="001D4435" w:rsidRDefault="002A4F46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GP30 Sloughbottom Park - Andersons Meadow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0139E" w14:textId="66512114" w:rsidR="002A4F46" w:rsidRPr="001D4435" w:rsidRDefault="002A4F46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61,826</w:t>
            </w:r>
          </w:p>
        </w:tc>
      </w:tr>
      <w:tr w:rsidR="002A4F46" w:rsidRPr="001D4435" w14:paraId="46D001BD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6D90A" w14:textId="2803CE59" w:rsidR="002A4F46" w:rsidRPr="001D4435" w:rsidRDefault="002A4F46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GP31 Riverside Walk accessibility improvements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1330C" w14:textId="5570C32C" w:rsidR="002A4F46" w:rsidRPr="001D4435" w:rsidRDefault="002A4F46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</w:t>
            </w:r>
            <w:r w:rsidR="007A1B9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6,569</w:t>
            </w:r>
          </w:p>
        </w:tc>
      </w:tr>
      <w:tr w:rsidR="002A4F46" w:rsidRPr="001D4435" w14:paraId="07B13FFF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F9A36" w14:textId="3AF73659" w:rsidR="002A4F46" w:rsidRPr="001D4435" w:rsidRDefault="002A4F46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GP33 Strumpshaw Pit Circular Walk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BC856" w14:textId="70F8D0C8" w:rsidR="002A4F46" w:rsidRPr="001D4435" w:rsidRDefault="002A4F46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£23,413</w:t>
            </w:r>
          </w:p>
        </w:tc>
      </w:tr>
      <w:tr w:rsidR="002A4F46" w:rsidRPr="001D4435" w14:paraId="0115C4C2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0C852" w14:textId="6D6BA9C6" w:rsidR="002A4F46" w:rsidRPr="001D4435" w:rsidRDefault="002A4F46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GP39 Hales cricket and bowls clubhouse improvements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1B6FC" w14:textId="2CA265E7" w:rsidR="002A4F46" w:rsidRPr="001D4435" w:rsidRDefault="002A4F46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</w:t>
            </w:r>
            <w:r w:rsidR="007A1B9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4,500</w:t>
            </w:r>
          </w:p>
        </w:tc>
      </w:tr>
      <w:tr w:rsidR="002A4F46" w:rsidRPr="001D4435" w14:paraId="3F5F873F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814DC" w14:textId="4F942CF4" w:rsidR="002A4F46" w:rsidRPr="001D4435" w:rsidRDefault="002A4F46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GP40 Wymondham: new sports improvements 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5183D" w14:textId="060BA993" w:rsidR="002A4F46" w:rsidRPr="001D4435" w:rsidRDefault="002A4F46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£250,000</w:t>
            </w:r>
          </w:p>
        </w:tc>
      </w:tr>
      <w:tr w:rsidR="002A4F46" w:rsidRPr="001D4435" w14:paraId="51384B13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4405F" w14:textId="10690280" w:rsidR="002A4F46" w:rsidRPr="001D4435" w:rsidRDefault="002A4F46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GP41 Wroxham Library: self service improvements 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6571A" w14:textId="1B9003A0" w:rsidR="002A4F46" w:rsidRPr="001D4435" w:rsidRDefault="002A4F46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£34,440</w:t>
            </w:r>
          </w:p>
        </w:tc>
      </w:tr>
      <w:tr w:rsidR="002A4F46" w:rsidRPr="001D4435" w14:paraId="2B776E04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4EE71" w14:textId="1BC48140" w:rsidR="002A4F46" w:rsidRPr="001D4435" w:rsidRDefault="002A4F46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GP42 Plumstead Road Library: self service improvements 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C5D64" w14:textId="62A6C683" w:rsidR="002A4F46" w:rsidRPr="001D4435" w:rsidRDefault="002A4F46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£112,499</w:t>
            </w:r>
          </w:p>
        </w:tc>
      </w:tr>
      <w:tr w:rsidR="002A4F46" w:rsidRPr="001D4435" w14:paraId="64C06A6C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45B22" w14:textId="1CB4F44D" w:rsidR="002A4F46" w:rsidRPr="001D4435" w:rsidRDefault="002A4F46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GP43 Diss library: self service improvements 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8EC5C" w14:textId="3B683C7C" w:rsidR="002A4F46" w:rsidRPr="001D4435" w:rsidRDefault="002A4F46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£28,612</w:t>
            </w:r>
          </w:p>
        </w:tc>
      </w:tr>
      <w:tr w:rsidR="002A4F46" w:rsidRPr="001D4435" w14:paraId="2BFF1E1F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FABBE" w14:textId="798A50BE" w:rsidR="002A4F46" w:rsidRPr="001D4435" w:rsidRDefault="002A4F46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GP44 Education - Hethersett 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C7131" w14:textId="5A275A70" w:rsidR="002A4F46" w:rsidRPr="001D4435" w:rsidRDefault="002A4F46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£2,000,000</w:t>
            </w:r>
          </w:p>
        </w:tc>
      </w:tr>
      <w:tr w:rsidR="002A4F46" w:rsidRPr="001D4435" w14:paraId="54E59CE0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36360" w14:textId="5AF4866D" w:rsidR="002A4F46" w:rsidRPr="001D4435" w:rsidRDefault="002A4F46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GP46 NATS - (MW) Thorpe Marriott to Costessey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84B17" w14:textId="33D0CC8B" w:rsidR="002A4F46" w:rsidRPr="001D4435" w:rsidRDefault="002A4F46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£4,674</w:t>
            </w:r>
          </w:p>
        </w:tc>
      </w:tr>
      <w:tr w:rsidR="002A4F46" w:rsidRPr="001D4435" w14:paraId="17744474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29B9B" w14:textId="7D82B042" w:rsidR="002A4F46" w:rsidRPr="001D4435" w:rsidRDefault="002A4F46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GP48 Wherrymans Way-Yare Valley Cycle Route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8384B" w14:textId="300DB75B" w:rsidR="002A4F46" w:rsidRPr="001D4435" w:rsidRDefault="002A4F46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£4,707</w:t>
            </w:r>
          </w:p>
        </w:tc>
      </w:tr>
      <w:tr w:rsidR="002A4F46" w:rsidRPr="001D4435" w14:paraId="2C091366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628C6" w14:textId="43BD3F41" w:rsidR="002A4F46" w:rsidRPr="001D4435" w:rsidRDefault="002A4F46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GP49 Millennium Grn Improvements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71E7A" w14:textId="375D48B7" w:rsidR="002A4F46" w:rsidRPr="001D4435" w:rsidRDefault="002A4F46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3,750</w:t>
            </w:r>
          </w:p>
        </w:tc>
      </w:tr>
      <w:tr w:rsidR="002A4F46" w:rsidRPr="001D4435" w14:paraId="553C6AE4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A0B2A" w14:textId="0078BD7E" w:rsidR="002A4F46" w:rsidRPr="001D4435" w:rsidRDefault="002A4F46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GP51 GI Access for All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B45AB" w14:textId="2AE35059" w:rsidR="002A4F46" w:rsidRPr="001D4435" w:rsidRDefault="002A4F46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£52,465</w:t>
            </w:r>
          </w:p>
        </w:tc>
      </w:tr>
      <w:tr w:rsidR="002A4F46" w:rsidRPr="001D4435" w14:paraId="22C1382A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2A99A" w14:textId="02343CC6" w:rsidR="002A4F46" w:rsidRPr="001D4435" w:rsidRDefault="002A4F46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GP52 Thorpe Marriott Greenway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166CB" w14:textId="50F01D37" w:rsidR="002A4F46" w:rsidRPr="001D4435" w:rsidRDefault="002A4F46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£14,150</w:t>
            </w:r>
          </w:p>
        </w:tc>
      </w:tr>
      <w:tr w:rsidR="002A4F46" w:rsidRPr="001D4435" w14:paraId="42C86351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4627F" w14:textId="0B06A93F" w:rsidR="002A4F46" w:rsidRPr="001D4435" w:rsidRDefault="002A4F46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GP53 NATS - MW Surfacing Drayton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387A9" w14:textId="6466B300" w:rsidR="002A4F46" w:rsidRPr="001D4435" w:rsidRDefault="002A4F46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£20,324</w:t>
            </w:r>
          </w:p>
        </w:tc>
      </w:tr>
      <w:tr w:rsidR="002A4F46" w:rsidRPr="001D4435" w14:paraId="7E6E2D24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6FD42" w14:textId="0D302EC0" w:rsidR="002A4F46" w:rsidRPr="001D4435" w:rsidRDefault="002A4F46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GP55 Community Sports Hub- Horsford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E96DB" w14:textId="60B2B881" w:rsidR="002A4F46" w:rsidRPr="001D4435" w:rsidRDefault="002A4F46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</w:t>
            </w:r>
            <w:r w:rsidR="00972FCF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711,012</w:t>
            </w:r>
          </w:p>
        </w:tc>
      </w:tr>
      <w:tr w:rsidR="002A4F46" w:rsidRPr="001D4435" w14:paraId="6AA564BA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6B942" w14:textId="59519F7E" w:rsidR="002A4F46" w:rsidRPr="001D4435" w:rsidRDefault="002A4F46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GP56 Harleston Library 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E0A7E" w14:textId="322224F9" w:rsidR="002A4F46" w:rsidRPr="001D4435" w:rsidRDefault="002A4F46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£21,945</w:t>
            </w:r>
          </w:p>
        </w:tc>
      </w:tr>
      <w:tr w:rsidR="002A4F46" w:rsidRPr="001D4435" w14:paraId="5A437AEE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6356B" w14:textId="59B3B504" w:rsidR="002A4F46" w:rsidRPr="001D4435" w:rsidRDefault="002A4F46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GP57 Cosstessey Library 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C41C1" w14:textId="15E07ABD" w:rsidR="002A4F46" w:rsidRPr="001D4435" w:rsidRDefault="002A4F46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£25,515</w:t>
            </w:r>
          </w:p>
        </w:tc>
      </w:tr>
      <w:tr w:rsidR="002A4F46" w:rsidRPr="001D4435" w14:paraId="4B937524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FD300" w14:textId="7C9C6EFB" w:rsidR="002A4F46" w:rsidRPr="001D4435" w:rsidRDefault="002A4F46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GP58 St Williams Way Library 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E9F55" w14:textId="62C45217" w:rsidR="002A4F46" w:rsidRPr="001D4435" w:rsidRDefault="002A4F46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£21,887</w:t>
            </w:r>
          </w:p>
        </w:tc>
      </w:tr>
      <w:tr w:rsidR="002A4F46" w:rsidRPr="001D4435" w14:paraId="37E8667B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1CA2E" w14:textId="09DBC0F7" w:rsidR="002A4F46" w:rsidRPr="001D4435" w:rsidRDefault="002A4F46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GP59 Earlham Library 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63A54" w14:textId="15F170F1" w:rsidR="002A4F46" w:rsidRPr="001D4435" w:rsidRDefault="002A4F46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£25,801</w:t>
            </w:r>
          </w:p>
        </w:tc>
      </w:tr>
      <w:tr w:rsidR="002A4F46" w:rsidRPr="001D4435" w14:paraId="7DAB53F2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05ED6" w14:textId="43CBE9D4" w:rsidR="002A4F46" w:rsidRPr="001D4435" w:rsidRDefault="002A4F46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GP60 Mile Cross Library 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335FF" w14:textId="37B0D1D3" w:rsidR="002A4F46" w:rsidRPr="001D4435" w:rsidRDefault="002A4F46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1D443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£24,301</w:t>
            </w:r>
          </w:p>
        </w:tc>
      </w:tr>
      <w:tr w:rsidR="002A4F46" w:rsidRPr="001D4435" w14:paraId="6E94598B" w14:textId="77777777" w:rsidTr="00341C7E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062BA" w14:textId="701C2313" w:rsidR="002A4F46" w:rsidRPr="001D4435" w:rsidRDefault="002A4F46" w:rsidP="001D4435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83E21" w14:textId="075557F6" w:rsidR="002A4F46" w:rsidRPr="001D4435" w:rsidRDefault="002A4F46" w:rsidP="00CF1E47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36E800A5" w14:textId="77777777" w:rsidR="001D4435" w:rsidRDefault="001D4435" w:rsidP="00FF7E8F">
      <w:pPr>
        <w:pStyle w:val="Heading2"/>
        <w:ind w:left="142"/>
        <w:rPr>
          <w:rFonts w:ascii="Calibri" w:eastAsia="Times New Roman" w:hAnsi="Calibri" w:cs="Calibri"/>
          <w:color w:val="000000"/>
          <w:lang w:val="en-GB" w:eastAsia="en-GB"/>
        </w:rPr>
      </w:pPr>
    </w:p>
    <w:p w14:paraId="18F01C6B" w14:textId="203E12F0" w:rsidR="00ED471E" w:rsidRDefault="00ED471E" w:rsidP="00FF7E8F">
      <w:pPr>
        <w:pStyle w:val="Heading2"/>
        <w:ind w:left="142"/>
        <w:rPr>
          <w:rFonts w:ascii="Calibri" w:eastAsia="Times New Roman" w:hAnsi="Calibri" w:cs="Calibri"/>
          <w:color w:val="000000"/>
          <w:lang w:val="en-GB" w:eastAsia="en-GB"/>
        </w:rPr>
      </w:pPr>
      <w:r>
        <w:rPr>
          <w:rFonts w:ascii="Calibri" w:eastAsia="Times New Roman" w:hAnsi="Calibri" w:cs="Calibri"/>
          <w:color w:val="000000"/>
          <w:lang w:val="en-GB" w:eastAsia="en-GB"/>
        </w:rPr>
        <w:t xml:space="preserve">* Projects completed as at end </w:t>
      </w:r>
      <w:r w:rsidR="00CE0C8A">
        <w:rPr>
          <w:rFonts w:ascii="Calibri" w:eastAsia="Times New Roman" w:hAnsi="Calibri" w:cs="Calibri"/>
          <w:color w:val="000000"/>
          <w:lang w:val="en-GB" w:eastAsia="en-GB"/>
        </w:rPr>
        <w:t>March 20</w:t>
      </w:r>
      <w:r w:rsidR="00AA1F09">
        <w:rPr>
          <w:rFonts w:ascii="Calibri" w:eastAsia="Times New Roman" w:hAnsi="Calibri" w:cs="Calibri"/>
          <w:color w:val="000000"/>
          <w:lang w:val="en-GB" w:eastAsia="en-GB"/>
        </w:rPr>
        <w:t>20</w:t>
      </w:r>
    </w:p>
    <w:p w14:paraId="7D6E776C" w14:textId="1F816FFE" w:rsidR="00ED471E" w:rsidRDefault="00ED471E" w:rsidP="00FF7E8F">
      <w:pPr>
        <w:pStyle w:val="Heading2"/>
        <w:ind w:left="142"/>
        <w:rPr>
          <w:rFonts w:eastAsia="Times New Roman" w:cs="Arial"/>
          <w:color w:val="000000"/>
          <w:lang w:eastAsia="en-GB"/>
        </w:rPr>
      </w:pPr>
    </w:p>
    <w:p w14:paraId="43B22177" w14:textId="5975AB60" w:rsidR="00CA49E3" w:rsidRDefault="00CA49E3" w:rsidP="00CA49E3">
      <w:pPr>
        <w:pStyle w:val="Heading2"/>
        <w:spacing w:after="60"/>
        <w:ind w:left="142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>CIL to end of March 20</w:t>
      </w:r>
      <w:r w:rsidR="002A4F46">
        <w:rPr>
          <w:rFonts w:eastAsia="Times New Roman" w:cs="Arial"/>
          <w:color w:val="000000"/>
          <w:lang w:eastAsia="en-GB"/>
        </w:rPr>
        <w:t>20</w:t>
      </w:r>
    </w:p>
    <w:tbl>
      <w:tblPr>
        <w:tblW w:w="6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885"/>
      </w:tblGrid>
      <w:tr w:rsidR="00372B51" w:rsidRPr="00CD020B" w14:paraId="65280D1D" w14:textId="77777777" w:rsidTr="00FB7474">
        <w:trPr>
          <w:trHeight w:val="300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E5BA" w14:textId="5328A620" w:rsidR="00372B51" w:rsidRPr="00CD020B" w:rsidRDefault="00372B51" w:rsidP="00372B51">
            <w:pPr>
              <w:widowControl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bookmarkStart w:id="1" w:name="_Hlk532387765"/>
            <w:r w:rsidRPr="00CD020B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Total income 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date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EB1C6E4" w14:textId="12C04F3C" w:rsidR="00372B51" w:rsidRPr="00A85979" w:rsidRDefault="00372B51" w:rsidP="00372B5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372B51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£18,629,301</w:t>
            </w:r>
          </w:p>
        </w:tc>
      </w:tr>
      <w:tr w:rsidR="00372B51" w:rsidRPr="00CD020B" w14:paraId="18B62885" w14:textId="77777777" w:rsidTr="00FB7474">
        <w:trPr>
          <w:trHeight w:val="300"/>
        </w:trPr>
        <w:tc>
          <w:tcPr>
            <w:tcW w:w="482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8C0E24" w14:textId="7F480888" w:rsidR="00372B51" w:rsidRPr="00CD020B" w:rsidRDefault="00372B51" w:rsidP="00372B51">
            <w:pPr>
              <w:widowControl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D020B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Total spend 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date</w:t>
            </w:r>
          </w:p>
        </w:tc>
        <w:tc>
          <w:tcPr>
            <w:tcW w:w="1885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3407578A" w14:textId="4E0E48EC" w:rsidR="00372B51" w:rsidRPr="00A85979" w:rsidRDefault="00372B51" w:rsidP="00372B5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372B51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£12,392,119</w:t>
            </w:r>
          </w:p>
        </w:tc>
      </w:tr>
      <w:tr w:rsidR="00372B51" w:rsidRPr="00CD020B" w14:paraId="4393450A" w14:textId="77777777" w:rsidTr="00FB7474">
        <w:trPr>
          <w:trHeight w:val="300"/>
        </w:trPr>
        <w:tc>
          <w:tcPr>
            <w:tcW w:w="482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0621275C" w14:textId="19C5A7A3" w:rsidR="00372B51" w:rsidRPr="00CD020B" w:rsidRDefault="00372B51" w:rsidP="00372B51">
            <w:pPr>
              <w:widowControl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Compound Interest**</w:t>
            </w:r>
          </w:p>
        </w:tc>
        <w:tc>
          <w:tcPr>
            <w:tcW w:w="1885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0EF9E28" w14:textId="2F2CA7B7" w:rsidR="00372B51" w:rsidRPr="00A85979" w:rsidRDefault="00372B51" w:rsidP="00372B5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372B51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£114,687</w:t>
            </w:r>
          </w:p>
        </w:tc>
      </w:tr>
      <w:tr w:rsidR="00372B51" w:rsidRPr="00CD020B" w14:paraId="1058A179" w14:textId="77777777" w:rsidTr="00FB7474">
        <w:trPr>
          <w:trHeight w:val="300"/>
        </w:trPr>
        <w:tc>
          <w:tcPr>
            <w:tcW w:w="482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3D3290" w14:textId="13D283C2" w:rsidR="00372B51" w:rsidRPr="00CD020B" w:rsidRDefault="00372B51" w:rsidP="00372B51">
            <w:pPr>
              <w:widowControl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D020B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Balance of CIL receipts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to date</w:t>
            </w:r>
          </w:p>
        </w:tc>
        <w:tc>
          <w:tcPr>
            <w:tcW w:w="1885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09C9734A" w14:textId="746D1E11" w:rsidR="00372B51" w:rsidRPr="00A85979" w:rsidRDefault="00372B51" w:rsidP="00372B5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372B51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£6,351,869</w:t>
            </w:r>
          </w:p>
        </w:tc>
      </w:tr>
    </w:tbl>
    <w:bookmarkEnd w:id="1"/>
    <w:p w14:paraId="583152BD" w14:textId="185EC233" w:rsidR="003D3683" w:rsidRPr="00AA1F09" w:rsidRDefault="00BD77E2" w:rsidP="00AA1F09">
      <w:pP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sectPr w:rsidR="003D3683" w:rsidRPr="00AA1F09" w:rsidSect="00455A22">
          <w:pgSz w:w="11920" w:h="16850"/>
          <w:pgMar w:top="993" w:right="1288" w:bottom="1500" w:left="1276" w:header="0" w:footer="1310" w:gutter="0"/>
          <w:cols w:space="720"/>
        </w:sect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**</w:t>
      </w:r>
      <w:r w:rsidRPr="00C45274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Interest earnt on unspent cash reserves till end March 20</w:t>
      </w:r>
      <w:r w:rsidR="00CF1E47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2</w:t>
      </w:r>
      <w:r w:rsidR="00AA1F0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0</w:t>
      </w:r>
    </w:p>
    <w:p w14:paraId="4425453E" w14:textId="77777777" w:rsidR="004C38BA" w:rsidRDefault="004C38BA" w:rsidP="00520FC1">
      <w:pPr>
        <w:spacing w:before="6"/>
        <w:rPr>
          <w:rFonts w:ascii="Arial" w:eastAsia="Arial" w:hAnsi="Arial" w:cs="Arial"/>
          <w:sz w:val="20"/>
          <w:szCs w:val="20"/>
        </w:rPr>
      </w:pPr>
    </w:p>
    <w:sectPr w:rsidR="004C38BA" w:rsidSect="006F2FB0">
      <w:pgSz w:w="16850" w:h="11920" w:orient="landscape"/>
      <w:pgMar w:top="720" w:right="720" w:bottom="720" w:left="720" w:header="0" w:footer="13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198B0" w14:textId="77777777" w:rsidR="00AC0C16" w:rsidRDefault="00AC0C16">
      <w:r>
        <w:separator/>
      </w:r>
    </w:p>
  </w:endnote>
  <w:endnote w:type="continuationSeparator" w:id="0">
    <w:p w14:paraId="186B0A0F" w14:textId="77777777" w:rsidR="00AC0C16" w:rsidRDefault="00AC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85D78" w14:textId="77777777" w:rsidR="00E5065A" w:rsidRDefault="00E5065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6A77F" w14:textId="77777777" w:rsidR="00AC0C16" w:rsidRDefault="00AC0C16">
      <w:r>
        <w:separator/>
      </w:r>
    </w:p>
  </w:footnote>
  <w:footnote w:type="continuationSeparator" w:id="0">
    <w:p w14:paraId="5763C84C" w14:textId="77777777" w:rsidR="00AC0C16" w:rsidRDefault="00AC0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61C"/>
    <w:multiLevelType w:val="hybridMultilevel"/>
    <w:tmpl w:val="EB24831E"/>
    <w:lvl w:ilvl="0" w:tplc="55FC1C24">
      <w:start w:val="2"/>
      <w:numFmt w:val="bullet"/>
      <w:lvlText w:val=""/>
      <w:lvlJc w:val="left"/>
      <w:pPr>
        <w:ind w:left="464" w:hanging="360"/>
      </w:pPr>
      <w:rPr>
        <w:rFonts w:ascii="Symbol" w:eastAsiaTheme="minorHAnsi" w:hAnsi="Symbol" w:cstheme="minorBidi" w:hint="default"/>
        <w:b/>
        <w:color w:val="FF0000"/>
        <w:sz w:val="24"/>
      </w:rPr>
    </w:lvl>
    <w:lvl w:ilvl="1" w:tplc="08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" w15:restartNumberingAfterBreak="0">
    <w:nsid w:val="348750FE"/>
    <w:multiLevelType w:val="hybridMultilevel"/>
    <w:tmpl w:val="8AD802AA"/>
    <w:lvl w:ilvl="0" w:tplc="BB5C27A0">
      <w:start w:val="3"/>
      <w:numFmt w:val="bullet"/>
      <w:lvlText w:val=""/>
      <w:lvlJc w:val="left"/>
      <w:pPr>
        <w:ind w:left="464" w:hanging="360"/>
      </w:pPr>
      <w:rPr>
        <w:rFonts w:ascii="Symbol" w:eastAsiaTheme="minorHAnsi" w:hAnsi="Symbol" w:cstheme="minorBidi" w:hint="default"/>
        <w:b/>
        <w:color w:val="FF0000"/>
        <w:sz w:val="24"/>
      </w:rPr>
    </w:lvl>
    <w:lvl w:ilvl="1" w:tplc="08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2" w15:restartNumberingAfterBreak="0">
    <w:nsid w:val="4CF34821"/>
    <w:multiLevelType w:val="hybridMultilevel"/>
    <w:tmpl w:val="A5923ED8"/>
    <w:lvl w:ilvl="0" w:tplc="31CE3BC4">
      <w:start w:val="1"/>
      <w:numFmt w:val="decimal"/>
      <w:lvlText w:val="%1."/>
      <w:lvlJc w:val="left"/>
      <w:pPr>
        <w:ind w:left="707" w:hanging="428"/>
      </w:pPr>
      <w:rPr>
        <w:rFonts w:ascii="Arial" w:eastAsia="Arial" w:hAnsi="Arial" w:hint="default"/>
        <w:sz w:val="24"/>
        <w:szCs w:val="24"/>
      </w:rPr>
    </w:lvl>
    <w:lvl w:ilvl="1" w:tplc="32E00A1C">
      <w:start w:val="1"/>
      <w:numFmt w:val="bullet"/>
      <w:lvlText w:val="•"/>
      <w:lvlJc w:val="left"/>
      <w:pPr>
        <w:ind w:left="1640" w:hanging="428"/>
      </w:pPr>
      <w:rPr>
        <w:rFonts w:hint="default"/>
      </w:rPr>
    </w:lvl>
    <w:lvl w:ilvl="2" w:tplc="1F6AAE00">
      <w:start w:val="1"/>
      <w:numFmt w:val="bullet"/>
      <w:lvlText w:val="•"/>
      <w:lvlJc w:val="left"/>
      <w:pPr>
        <w:ind w:left="2572" w:hanging="428"/>
      </w:pPr>
      <w:rPr>
        <w:rFonts w:hint="default"/>
      </w:rPr>
    </w:lvl>
    <w:lvl w:ilvl="3" w:tplc="AC9ED78C">
      <w:start w:val="1"/>
      <w:numFmt w:val="bullet"/>
      <w:lvlText w:val="•"/>
      <w:lvlJc w:val="left"/>
      <w:pPr>
        <w:ind w:left="3504" w:hanging="428"/>
      </w:pPr>
      <w:rPr>
        <w:rFonts w:hint="default"/>
      </w:rPr>
    </w:lvl>
    <w:lvl w:ilvl="4" w:tplc="9A0E77CE">
      <w:start w:val="1"/>
      <w:numFmt w:val="bullet"/>
      <w:lvlText w:val="•"/>
      <w:lvlJc w:val="left"/>
      <w:pPr>
        <w:ind w:left="4437" w:hanging="428"/>
      </w:pPr>
      <w:rPr>
        <w:rFonts w:hint="default"/>
      </w:rPr>
    </w:lvl>
    <w:lvl w:ilvl="5" w:tplc="BFFA8F34">
      <w:start w:val="1"/>
      <w:numFmt w:val="bullet"/>
      <w:lvlText w:val="•"/>
      <w:lvlJc w:val="left"/>
      <w:pPr>
        <w:ind w:left="5369" w:hanging="428"/>
      </w:pPr>
      <w:rPr>
        <w:rFonts w:hint="default"/>
      </w:rPr>
    </w:lvl>
    <w:lvl w:ilvl="6" w:tplc="372C10E2">
      <w:start w:val="1"/>
      <w:numFmt w:val="bullet"/>
      <w:lvlText w:val="•"/>
      <w:lvlJc w:val="left"/>
      <w:pPr>
        <w:ind w:left="6301" w:hanging="428"/>
      </w:pPr>
      <w:rPr>
        <w:rFonts w:hint="default"/>
      </w:rPr>
    </w:lvl>
    <w:lvl w:ilvl="7" w:tplc="0D8E4C9A">
      <w:start w:val="1"/>
      <w:numFmt w:val="bullet"/>
      <w:lvlText w:val="•"/>
      <w:lvlJc w:val="left"/>
      <w:pPr>
        <w:ind w:left="7234" w:hanging="428"/>
      </w:pPr>
      <w:rPr>
        <w:rFonts w:hint="default"/>
      </w:rPr>
    </w:lvl>
    <w:lvl w:ilvl="8" w:tplc="105E4224">
      <w:start w:val="1"/>
      <w:numFmt w:val="bullet"/>
      <w:lvlText w:val="•"/>
      <w:lvlJc w:val="left"/>
      <w:pPr>
        <w:ind w:left="8166" w:hanging="428"/>
      </w:pPr>
      <w:rPr>
        <w:rFonts w:hint="default"/>
      </w:rPr>
    </w:lvl>
  </w:abstractNum>
  <w:abstractNum w:abstractNumId="3" w15:restartNumberingAfterBreak="0">
    <w:nsid w:val="5C283F7F"/>
    <w:multiLevelType w:val="hybridMultilevel"/>
    <w:tmpl w:val="93525690"/>
    <w:lvl w:ilvl="0" w:tplc="8AD815F4">
      <w:start w:val="2"/>
      <w:numFmt w:val="bullet"/>
      <w:lvlText w:val=""/>
      <w:lvlJc w:val="left"/>
      <w:pPr>
        <w:ind w:left="464" w:hanging="360"/>
      </w:pPr>
      <w:rPr>
        <w:rFonts w:ascii="Symbol" w:eastAsiaTheme="minorHAnsi" w:hAnsi="Symbol" w:cstheme="minorBid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4" w15:restartNumberingAfterBreak="0">
    <w:nsid w:val="6CB810DD"/>
    <w:multiLevelType w:val="hybridMultilevel"/>
    <w:tmpl w:val="46860A28"/>
    <w:lvl w:ilvl="0" w:tplc="CD18B5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DE"/>
    <w:rsid w:val="00031CC8"/>
    <w:rsid w:val="000532D5"/>
    <w:rsid w:val="000554F1"/>
    <w:rsid w:val="00055F06"/>
    <w:rsid w:val="00057D4C"/>
    <w:rsid w:val="000712E4"/>
    <w:rsid w:val="000B5B66"/>
    <w:rsid w:val="000C24C0"/>
    <w:rsid w:val="000C5AB2"/>
    <w:rsid w:val="000E20B6"/>
    <w:rsid w:val="000E6202"/>
    <w:rsid w:val="000E7D05"/>
    <w:rsid w:val="00103E98"/>
    <w:rsid w:val="0010717F"/>
    <w:rsid w:val="00111A1B"/>
    <w:rsid w:val="0012066E"/>
    <w:rsid w:val="00136B77"/>
    <w:rsid w:val="001379BC"/>
    <w:rsid w:val="00143C8F"/>
    <w:rsid w:val="00156FAB"/>
    <w:rsid w:val="00163E64"/>
    <w:rsid w:val="00176ED0"/>
    <w:rsid w:val="00183623"/>
    <w:rsid w:val="001920FA"/>
    <w:rsid w:val="001A5CC5"/>
    <w:rsid w:val="001C0077"/>
    <w:rsid w:val="001C1AEE"/>
    <w:rsid w:val="001D4435"/>
    <w:rsid w:val="00232DAA"/>
    <w:rsid w:val="002538AA"/>
    <w:rsid w:val="00255285"/>
    <w:rsid w:val="00255FF0"/>
    <w:rsid w:val="00257392"/>
    <w:rsid w:val="00271D7E"/>
    <w:rsid w:val="00272228"/>
    <w:rsid w:val="00285FA8"/>
    <w:rsid w:val="002A4F46"/>
    <w:rsid w:val="002A5D28"/>
    <w:rsid w:val="002E6075"/>
    <w:rsid w:val="002F63E3"/>
    <w:rsid w:val="002F646F"/>
    <w:rsid w:val="00314B69"/>
    <w:rsid w:val="00341C7E"/>
    <w:rsid w:val="00353DDE"/>
    <w:rsid w:val="003657FB"/>
    <w:rsid w:val="00372B51"/>
    <w:rsid w:val="00383F62"/>
    <w:rsid w:val="00390F2B"/>
    <w:rsid w:val="003963F3"/>
    <w:rsid w:val="003A2293"/>
    <w:rsid w:val="003A71B1"/>
    <w:rsid w:val="003B201F"/>
    <w:rsid w:val="003D3683"/>
    <w:rsid w:val="003E550F"/>
    <w:rsid w:val="004027B5"/>
    <w:rsid w:val="00410042"/>
    <w:rsid w:val="00410BEB"/>
    <w:rsid w:val="0042705F"/>
    <w:rsid w:val="00441574"/>
    <w:rsid w:val="00447544"/>
    <w:rsid w:val="0045590A"/>
    <w:rsid w:val="00455A22"/>
    <w:rsid w:val="0046539A"/>
    <w:rsid w:val="004657D2"/>
    <w:rsid w:val="00481BB3"/>
    <w:rsid w:val="004C38BA"/>
    <w:rsid w:val="004D0CD8"/>
    <w:rsid w:val="005172E0"/>
    <w:rsid w:val="00520FC1"/>
    <w:rsid w:val="00525D65"/>
    <w:rsid w:val="00526B9E"/>
    <w:rsid w:val="00592928"/>
    <w:rsid w:val="005A13E2"/>
    <w:rsid w:val="005E5CCF"/>
    <w:rsid w:val="005F0651"/>
    <w:rsid w:val="00614773"/>
    <w:rsid w:val="006344BA"/>
    <w:rsid w:val="00643958"/>
    <w:rsid w:val="006464B1"/>
    <w:rsid w:val="006511E1"/>
    <w:rsid w:val="00654CE5"/>
    <w:rsid w:val="00671949"/>
    <w:rsid w:val="006726A5"/>
    <w:rsid w:val="006B3E39"/>
    <w:rsid w:val="006F2FB0"/>
    <w:rsid w:val="00711A53"/>
    <w:rsid w:val="0072798A"/>
    <w:rsid w:val="00744865"/>
    <w:rsid w:val="00763CC3"/>
    <w:rsid w:val="00773FB3"/>
    <w:rsid w:val="007855E1"/>
    <w:rsid w:val="007A1B92"/>
    <w:rsid w:val="007C564D"/>
    <w:rsid w:val="007E11CC"/>
    <w:rsid w:val="007E6AE8"/>
    <w:rsid w:val="0082080B"/>
    <w:rsid w:val="00846C0A"/>
    <w:rsid w:val="0085186F"/>
    <w:rsid w:val="00852826"/>
    <w:rsid w:val="008633F3"/>
    <w:rsid w:val="0088055E"/>
    <w:rsid w:val="008A3239"/>
    <w:rsid w:val="008B4C94"/>
    <w:rsid w:val="008B5586"/>
    <w:rsid w:val="008C0315"/>
    <w:rsid w:val="008C427F"/>
    <w:rsid w:val="008D0B03"/>
    <w:rsid w:val="008D5A25"/>
    <w:rsid w:val="008E6D03"/>
    <w:rsid w:val="008F7790"/>
    <w:rsid w:val="00952085"/>
    <w:rsid w:val="00972FCF"/>
    <w:rsid w:val="009807A1"/>
    <w:rsid w:val="00980B2B"/>
    <w:rsid w:val="00993D81"/>
    <w:rsid w:val="00995218"/>
    <w:rsid w:val="00A02B61"/>
    <w:rsid w:val="00A057E6"/>
    <w:rsid w:val="00A17027"/>
    <w:rsid w:val="00A72809"/>
    <w:rsid w:val="00A748BF"/>
    <w:rsid w:val="00A85979"/>
    <w:rsid w:val="00A9508A"/>
    <w:rsid w:val="00AA1F09"/>
    <w:rsid w:val="00AA4D94"/>
    <w:rsid w:val="00AA73DC"/>
    <w:rsid w:val="00AA78C3"/>
    <w:rsid w:val="00AC0C16"/>
    <w:rsid w:val="00AF378A"/>
    <w:rsid w:val="00B51940"/>
    <w:rsid w:val="00B600B3"/>
    <w:rsid w:val="00B749F6"/>
    <w:rsid w:val="00B762FC"/>
    <w:rsid w:val="00B84667"/>
    <w:rsid w:val="00B85BB4"/>
    <w:rsid w:val="00B97601"/>
    <w:rsid w:val="00BC1C9F"/>
    <w:rsid w:val="00BC7A7E"/>
    <w:rsid w:val="00BD1C08"/>
    <w:rsid w:val="00BD77E2"/>
    <w:rsid w:val="00C1050A"/>
    <w:rsid w:val="00C150FE"/>
    <w:rsid w:val="00C35DF6"/>
    <w:rsid w:val="00C45274"/>
    <w:rsid w:val="00C74982"/>
    <w:rsid w:val="00C9694A"/>
    <w:rsid w:val="00CA49E3"/>
    <w:rsid w:val="00CD020B"/>
    <w:rsid w:val="00CE03E1"/>
    <w:rsid w:val="00CE0C8A"/>
    <w:rsid w:val="00CF1E47"/>
    <w:rsid w:val="00CF358B"/>
    <w:rsid w:val="00D121B9"/>
    <w:rsid w:val="00D25B8B"/>
    <w:rsid w:val="00D543DE"/>
    <w:rsid w:val="00D56285"/>
    <w:rsid w:val="00D62975"/>
    <w:rsid w:val="00D639C2"/>
    <w:rsid w:val="00D83001"/>
    <w:rsid w:val="00D8402D"/>
    <w:rsid w:val="00DA193F"/>
    <w:rsid w:val="00DB576D"/>
    <w:rsid w:val="00DE36D1"/>
    <w:rsid w:val="00DE55C4"/>
    <w:rsid w:val="00DF635E"/>
    <w:rsid w:val="00E008C2"/>
    <w:rsid w:val="00E04AF8"/>
    <w:rsid w:val="00E24474"/>
    <w:rsid w:val="00E5065A"/>
    <w:rsid w:val="00EA6B71"/>
    <w:rsid w:val="00ED471E"/>
    <w:rsid w:val="00F05F46"/>
    <w:rsid w:val="00F05FF7"/>
    <w:rsid w:val="00F07218"/>
    <w:rsid w:val="00F20669"/>
    <w:rsid w:val="00F354D5"/>
    <w:rsid w:val="00F36FDA"/>
    <w:rsid w:val="00F428FD"/>
    <w:rsid w:val="00F7489F"/>
    <w:rsid w:val="00F803E1"/>
    <w:rsid w:val="00FA741C"/>
    <w:rsid w:val="00FB64DB"/>
    <w:rsid w:val="00FE2801"/>
    <w:rsid w:val="00FF5D6A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1B3B8B"/>
  <w15:docId w15:val="{93B73B11-9D97-4780-996B-F25AB8CB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10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spacing w:before="69"/>
      <w:ind w:left="119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07" w:hanging="427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43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C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2293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3A2293"/>
    <w:rPr>
      <w:rFonts w:ascii="Arial" w:eastAsia="Arial" w:hAnsi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20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085"/>
  </w:style>
  <w:style w:type="paragraph" w:styleId="Footer">
    <w:name w:val="footer"/>
    <w:basedOn w:val="Normal"/>
    <w:link w:val="FooterChar"/>
    <w:uiPriority w:val="99"/>
    <w:unhideWhenUsed/>
    <w:rsid w:val="009520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085"/>
  </w:style>
  <w:style w:type="character" w:styleId="CommentReference">
    <w:name w:val="annotation reference"/>
    <w:basedOn w:val="DefaultParagraphFont"/>
    <w:uiPriority w:val="99"/>
    <w:semiHidden/>
    <w:unhideWhenUsed/>
    <w:rsid w:val="00A74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8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8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98A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633F3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eaternorwichgrowth.org.uk/delivery/growth-program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2EA3E-04F6-4B70-8EAF-C02F7EE2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</vt:lpstr>
    </vt:vector>
  </TitlesOfParts>
  <Company>BDC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creator>Ellen Jones</dc:creator>
  <cp:lastModifiedBy>Burke, Grace</cp:lastModifiedBy>
  <cp:revision>3</cp:revision>
  <dcterms:created xsi:type="dcterms:W3CDTF">2020-12-18T13:39:00Z</dcterms:created>
  <dcterms:modified xsi:type="dcterms:W3CDTF">2020-12-18T13:42:00Z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2017-01-10T00:00:00Z</vt:filetime>
  </property>
  <property fmtid="{D5CDD505-2E9C-101B-9397-08002B2CF9AE}" pid="3" name="LastSaved">
    <vt:filetime>2017-01-10T00:00:00Z</vt:filetime>
  </property>
</Properties>
</file>